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F7B0D66" w:rsidR="00E978D0" w:rsidRDefault="00547BFA" w:rsidP="00E978D0">
      <w:pPr>
        <w:pStyle w:val="CETTitle"/>
      </w:pPr>
      <w:r>
        <w:t>Historical Analysis on Wind Turbine Fire Incidents</w:t>
      </w:r>
    </w:p>
    <w:p w14:paraId="3EBDEE40" w14:textId="77777777" w:rsidR="00547BFA" w:rsidRPr="00547BFA" w:rsidRDefault="00547BFA" w:rsidP="00547BFA">
      <w:pPr>
        <w:pStyle w:val="CETAuthors"/>
      </w:pPr>
    </w:p>
    <w:p w14:paraId="20CEAE57" w14:textId="1769F22E" w:rsidR="00547BFA" w:rsidRDefault="00547BFA" w:rsidP="00547BFA">
      <w:pPr>
        <w:spacing w:line="360" w:lineRule="auto"/>
        <w:jc w:val="center"/>
        <w:rPr>
          <w:noProof/>
          <w:sz w:val="24"/>
          <w:vertAlign w:val="superscript"/>
          <w:lang w:val="es-MX"/>
        </w:rPr>
      </w:pPr>
      <w:r w:rsidRPr="00547BFA">
        <w:rPr>
          <w:noProof/>
          <w:sz w:val="24"/>
          <w:lang w:val="es-MX"/>
        </w:rPr>
        <w:t>Adriana Palacios</w:t>
      </w:r>
      <w:r w:rsidRPr="00547BFA">
        <w:rPr>
          <w:noProof/>
          <w:sz w:val="24"/>
          <w:vertAlign w:val="superscript"/>
          <w:lang w:val="es-MX"/>
        </w:rPr>
        <w:t>1,*</w:t>
      </w:r>
      <w:r w:rsidRPr="00547BFA">
        <w:rPr>
          <w:noProof/>
          <w:sz w:val="24"/>
          <w:lang w:val="es-MX"/>
        </w:rPr>
        <w:t>, Erika Palacios-Rosas</w:t>
      </w:r>
      <w:r w:rsidRPr="00547BFA">
        <w:rPr>
          <w:noProof/>
          <w:sz w:val="24"/>
          <w:vertAlign w:val="superscript"/>
          <w:lang w:val="es-MX"/>
        </w:rPr>
        <w:t>2,*</w:t>
      </w:r>
      <w:r w:rsidRPr="00547BFA">
        <w:rPr>
          <w:noProof/>
          <w:sz w:val="24"/>
          <w:lang w:val="es-MX"/>
        </w:rPr>
        <w:t>, Tawfiq Abdulaziz-Almughanam</w:t>
      </w:r>
      <w:r w:rsidRPr="00547BFA">
        <w:rPr>
          <w:noProof/>
          <w:sz w:val="24"/>
          <w:vertAlign w:val="superscript"/>
          <w:lang w:val="es-MX"/>
        </w:rPr>
        <w:t>3,*</w:t>
      </w:r>
      <w:r w:rsidRPr="00547BFA">
        <w:rPr>
          <w:noProof/>
          <w:sz w:val="24"/>
          <w:lang w:val="es-MX"/>
        </w:rPr>
        <w:t>, Carolina Sohn-Favela</w:t>
      </w:r>
      <w:r w:rsidRPr="00547BFA">
        <w:rPr>
          <w:noProof/>
          <w:sz w:val="24"/>
          <w:vertAlign w:val="superscript"/>
          <w:lang w:val="es-MX"/>
        </w:rPr>
        <w:t>1</w:t>
      </w:r>
      <w:r w:rsidRPr="00547BFA">
        <w:rPr>
          <w:noProof/>
          <w:sz w:val="24"/>
          <w:lang w:val="es-MX"/>
        </w:rPr>
        <w:t>, Jose De Jesus Gonzalez-Jimenez</w:t>
      </w:r>
      <w:r w:rsidRPr="00547BFA">
        <w:rPr>
          <w:noProof/>
          <w:sz w:val="24"/>
          <w:vertAlign w:val="superscript"/>
          <w:lang w:val="es-MX"/>
        </w:rPr>
        <w:t>1</w:t>
      </w:r>
    </w:p>
    <w:p w14:paraId="327D0F5D" w14:textId="3554BC9D" w:rsidR="00547BFA" w:rsidRPr="00547BFA" w:rsidRDefault="00547BFA" w:rsidP="00547BFA">
      <w:pPr>
        <w:pStyle w:val="CETAddress"/>
        <w:jc w:val="center"/>
        <w:rPr>
          <w:lang w:val="es-MX"/>
        </w:rPr>
      </w:pPr>
      <w:r w:rsidRPr="00547BFA">
        <w:rPr>
          <w:vertAlign w:val="superscript"/>
          <w:lang w:val="es-MX"/>
        </w:rPr>
        <w:t>1</w:t>
      </w:r>
      <w:r w:rsidRPr="00547BFA">
        <w:rPr>
          <w:lang w:val="es-MX"/>
        </w:rPr>
        <w:t>Chemical, Food and Environmental Engineering Department, Universidad de las Américas Puebla, Puebla, Mexico.</w:t>
      </w:r>
    </w:p>
    <w:p w14:paraId="0C80A703" w14:textId="77777777" w:rsidR="00547BFA" w:rsidRDefault="00547BFA" w:rsidP="00547BFA">
      <w:pPr>
        <w:pStyle w:val="CETAddress"/>
        <w:jc w:val="center"/>
        <w:rPr>
          <w:lang w:val="es-MX"/>
        </w:rPr>
      </w:pPr>
      <w:r w:rsidRPr="00547BFA">
        <w:rPr>
          <w:vertAlign w:val="superscript"/>
          <w:lang w:val="es-MX"/>
        </w:rPr>
        <w:t>2</w:t>
      </w:r>
      <w:r w:rsidRPr="00547BFA">
        <w:rPr>
          <w:lang w:val="es-MX"/>
        </w:rPr>
        <w:t xml:space="preserve">Health Sciences Department, Universidad de las Américas Puebla, Puebla, Mexico. </w:t>
      </w:r>
    </w:p>
    <w:p w14:paraId="02C32866" w14:textId="0ED495BA" w:rsidR="00547BFA" w:rsidRPr="00547BFA" w:rsidRDefault="00547BFA" w:rsidP="00547BFA">
      <w:pPr>
        <w:pStyle w:val="CETAddress"/>
        <w:jc w:val="center"/>
        <w:rPr>
          <w:lang w:val="en-US"/>
        </w:rPr>
      </w:pPr>
      <w:r w:rsidRPr="00547BFA">
        <w:rPr>
          <w:vertAlign w:val="superscript"/>
          <w:lang w:val="en-US"/>
        </w:rPr>
        <w:t>3</w:t>
      </w:r>
      <w:r w:rsidRPr="00547BFA">
        <w:rPr>
          <w:lang w:val="en-US"/>
        </w:rPr>
        <w:t>Department of Mechanical Engineering, College of Engineering, King Faisal University, Al-Ahsa, Saudi Arabia.</w:t>
      </w:r>
    </w:p>
    <w:p w14:paraId="7BB798AB" w14:textId="72B7ABCF" w:rsidR="00547BFA" w:rsidRPr="00547BFA" w:rsidRDefault="00547BFA" w:rsidP="00547BFA">
      <w:pPr>
        <w:pStyle w:val="CETAddress"/>
        <w:jc w:val="center"/>
        <w:rPr>
          <w:lang w:val="en-US"/>
        </w:rPr>
      </w:pPr>
      <w:r w:rsidRPr="00547BFA">
        <w:rPr>
          <w:lang w:val="en-US"/>
        </w:rPr>
        <w:t xml:space="preserve">Corresponding authors*: </w:t>
      </w:r>
      <w:hyperlink r:id="rId13" w:history="1">
        <w:r w:rsidRPr="00345090">
          <w:rPr>
            <w:rStyle w:val="Collegamentoipertestuale"/>
            <w:lang w:val="en-US"/>
          </w:rPr>
          <w:t>adriana.palacios@udlap.mx</w:t>
        </w:r>
      </w:hyperlink>
      <w:r w:rsidRPr="00547BFA">
        <w:rPr>
          <w:lang w:val="en-US"/>
        </w:rPr>
        <w:t>;</w:t>
      </w:r>
      <w:r>
        <w:rPr>
          <w:lang w:val="en-US"/>
        </w:rPr>
        <w:t xml:space="preserve"> </w:t>
      </w:r>
      <w:hyperlink r:id="rId14" w:history="1">
        <w:r w:rsidRPr="00345090">
          <w:rPr>
            <w:rStyle w:val="Collegamentoipertestuale"/>
            <w:lang w:val="en-US"/>
          </w:rPr>
          <w:t>erika.palacios@udlap.mx</w:t>
        </w:r>
      </w:hyperlink>
      <w:r w:rsidRPr="00547BFA">
        <w:rPr>
          <w:lang w:val="en-US"/>
        </w:rPr>
        <w:t>;</w:t>
      </w:r>
      <w:r>
        <w:rPr>
          <w:lang w:val="en-US"/>
        </w:rPr>
        <w:t xml:space="preserve"> </w:t>
      </w:r>
      <w:r w:rsidRPr="00547BFA">
        <w:rPr>
          <w:lang w:val="en-US"/>
        </w:rPr>
        <w:t xml:space="preserve"> </w:t>
      </w:r>
      <w:hyperlink r:id="rId15" w:history="1">
        <w:r w:rsidRPr="00345090">
          <w:rPr>
            <w:rStyle w:val="Collegamentoipertestuale"/>
            <w:lang w:val="en-US"/>
          </w:rPr>
          <w:t>talmughanam@kfu.edu.sa</w:t>
        </w:r>
      </w:hyperlink>
      <w:r>
        <w:rPr>
          <w:lang w:val="en-US"/>
        </w:rPr>
        <w:t xml:space="preserve"> </w:t>
      </w:r>
    </w:p>
    <w:p w14:paraId="1AEA5CF8" w14:textId="77777777" w:rsidR="00547BFA" w:rsidRPr="00547BFA" w:rsidRDefault="00547BFA" w:rsidP="00154258">
      <w:pPr>
        <w:pStyle w:val="CETBodytext"/>
        <w:rPr>
          <w:rStyle w:val="normaltextrun"/>
          <w:rFonts w:ascii="Aptos" w:hAnsi="Aptos"/>
          <w:color w:val="000000"/>
          <w:shd w:val="clear" w:color="auto" w:fill="FFFFFF"/>
        </w:rPr>
      </w:pPr>
    </w:p>
    <w:p w14:paraId="7BDC150E" w14:textId="77777777" w:rsidR="00547BFA" w:rsidRDefault="00547BFA" w:rsidP="00154258">
      <w:pPr>
        <w:pStyle w:val="CETBodytext"/>
        <w:rPr>
          <w:rStyle w:val="normaltextrun"/>
          <w:rFonts w:cs="Arial"/>
          <w:color w:val="000000"/>
          <w:szCs w:val="18"/>
          <w:shd w:val="clear" w:color="auto" w:fill="FFFFFF"/>
        </w:rPr>
      </w:pPr>
    </w:p>
    <w:p w14:paraId="4A0FC5B5" w14:textId="057530C1" w:rsidR="006777E3" w:rsidRDefault="00154258" w:rsidP="00154258">
      <w:pPr>
        <w:pStyle w:val="CETBodytext"/>
        <w:rPr>
          <w:rStyle w:val="eop"/>
          <w:rFonts w:cs="Arial"/>
          <w:color w:val="000000"/>
          <w:szCs w:val="18"/>
          <w:shd w:val="clear" w:color="auto" w:fill="FFFFFF"/>
        </w:rPr>
      </w:pPr>
      <w:r w:rsidRPr="00547BFA">
        <w:rPr>
          <w:rStyle w:val="normaltextrun"/>
          <w:rFonts w:cs="Arial"/>
          <w:color w:val="000000"/>
          <w:szCs w:val="18"/>
          <w:shd w:val="clear" w:color="auto" w:fill="FFFFFF"/>
        </w:rPr>
        <w:t>Fires in wind turbines represent a critical issue in the renewable energy industry, as they not only result in significant economic losses but also pose considerable risks to public health and the environment. Given the global growth in wind farm installations, fire prevention and management has become an increasingly relevant challenge. To better understand this issue, a database has been created, compiling 478 wind turbine fire incidents that occurred between 2000 and 2024. This historical analysis includes information on the date and location of the incidents, technical characteristics of the affected turbines, as well as the turbine manufacturers involved. The reported fires have been recorded across various regions</w:t>
      </w:r>
      <w:r w:rsidR="00C10B15" w:rsidRPr="00547BFA">
        <w:rPr>
          <w:rStyle w:val="normaltextrun"/>
          <w:rFonts w:cs="Arial"/>
          <w:color w:val="000000"/>
          <w:szCs w:val="18"/>
          <w:shd w:val="clear" w:color="auto" w:fill="FFFFFF"/>
        </w:rPr>
        <w:t>,</w:t>
      </w:r>
      <w:r w:rsidRPr="00547BFA">
        <w:rPr>
          <w:rStyle w:val="normaltextrun"/>
          <w:rFonts w:cs="Arial"/>
          <w:color w:val="000000"/>
          <w:szCs w:val="18"/>
          <w:shd w:val="clear" w:color="auto" w:fill="FFFFFF"/>
        </w:rPr>
        <w:t xml:space="preserve"> </w:t>
      </w:r>
      <w:r w:rsidR="00B2226D" w:rsidRPr="00547BFA">
        <w:rPr>
          <w:rStyle w:val="normaltextrun"/>
          <w:rFonts w:cs="Arial"/>
          <w:color w:val="000000"/>
          <w:szCs w:val="18"/>
          <w:shd w:val="clear" w:color="auto" w:fill="FFFFFF"/>
        </w:rPr>
        <w:t xml:space="preserve">mainly </w:t>
      </w:r>
      <w:r w:rsidRPr="00547BFA">
        <w:rPr>
          <w:rStyle w:val="normaltextrun"/>
          <w:rFonts w:cs="Arial"/>
          <w:color w:val="000000"/>
          <w:szCs w:val="18"/>
          <w:shd w:val="clear" w:color="auto" w:fill="FFFFFF"/>
        </w:rPr>
        <w:t>in the Americas and Europe. On average, 20 fires have been reported annually, although various studies suggest that the actual number is much higher. This study provides valuable insights for decision-makers in the wind energy sector, aiming to improve safety regulations and reduce the occurrence of fires in the future.</w:t>
      </w:r>
      <w:r w:rsidRPr="00547BFA">
        <w:rPr>
          <w:rStyle w:val="eop"/>
          <w:rFonts w:cs="Arial"/>
          <w:color w:val="000000"/>
          <w:szCs w:val="18"/>
          <w:shd w:val="clear" w:color="auto" w:fill="FFFFFF"/>
        </w:rPr>
        <w:t> </w:t>
      </w:r>
    </w:p>
    <w:p w14:paraId="1DA7F552" w14:textId="77777777" w:rsidR="00547BFA" w:rsidRPr="00547BFA" w:rsidRDefault="00547BFA" w:rsidP="00154258">
      <w:pPr>
        <w:pStyle w:val="CETBodytext"/>
        <w:rPr>
          <w:rStyle w:val="eop"/>
          <w:rFonts w:cs="Arial"/>
          <w:color w:val="000000"/>
          <w:szCs w:val="18"/>
          <w:shd w:val="clear" w:color="auto" w:fill="FFFFFF"/>
        </w:rPr>
      </w:pPr>
    </w:p>
    <w:p w14:paraId="31D8AAC2" w14:textId="4970CE15" w:rsidR="00333BAD" w:rsidRDefault="006777E3" w:rsidP="00333BAD">
      <w:pPr>
        <w:pStyle w:val="CETHeading1"/>
      </w:pPr>
      <w:r w:rsidRPr="00333BAD">
        <w:t>Introduction</w:t>
      </w:r>
    </w:p>
    <w:p w14:paraId="660A6EB6" w14:textId="77777777" w:rsidR="00D57474" w:rsidRPr="00547BFA" w:rsidRDefault="00D57474" w:rsidP="00D57474">
      <w:pPr>
        <w:pStyle w:val="CETBodytext"/>
        <w:rPr>
          <w:rFonts w:cs="Arial"/>
          <w:szCs w:val="18"/>
        </w:rPr>
      </w:pPr>
      <w:r w:rsidRPr="00547BFA">
        <w:rPr>
          <w:rStyle w:val="normaltextrun"/>
          <w:rFonts w:cs="Arial"/>
        </w:rPr>
        <w:t>Today, fossil fuels, such as coal, oil, and natural gas, continue to be the main sources of energy globally. However, its intensive use has generated serious environmental impacts, such as increased greenhouse gas emissions and consequent climate change. In the face of this crisis, more sustainable alternatives have been developed, highlighting renewable energies, such as solar, hydroelectric and wind. These energy sources, derived from inexhaustible natural resources, not only offer a solution to reduce emissions, but also have economic and social benefits, such as job creation and energy independence.</w:t>
      </w:r>
      <w:r w:rsidRPr="00547BFA">
        <w:rPr>
          <w:rStyle w:val="eop"/>
          <w:rFonts w:cs="Arial"/>
        </w:rPr>
        <w:t> </w:t>
      </w:r>
    </w:p>
    <w:p w14:paraId="39463307" w14:textId="77777777" w:rsidR="00D57474" w:rsidRPr="00547BFA" w:rsidRDefault="00D57474" w:rsidP="00D57474">
      <w:pPr>
        <w:pStyle w:val="CETBodytext"/>
        <w:rPr>
          <w:rFonts w:cs="Arial"/>
          <w:szCs w:val="18"/>
        </w:rPr>
      </w:pPr>
      <w:r w:rsidRPr="00547BFA">
        <w:rPr>
          <w:rStyle w:val="normaltextrun"/>
          <w:rFonts w:cs="Arial"/>
        </w:rPr>
        <w:t>Wind energy is obtained by harnessing the kinetic energy of the wind by large turbines located onshore or offshore. Although the use of wind as an energy source dates back millennia, recent technological advances have optimized its use by means of taller turbines and larger diameter rotors, capable of generating electricity even in areas of moderate wind speeds. This renewable technology has emerged as a key element in the energy transition, although its expansion also entails technical and safety challenges, such as accidents associated with wind turbines, the central theme of this analysis.</w:t>
      </w:r>
      <w:r w:rsidRPr="00547BFA">
        <w:rPr>
          <w:rStyle w:val="eop"/>
          <w:rFonts w:cs="Arial"/>
        </w:rPr>
        <w:t> </w:t>
      </w:r>
    </w:p>
    <w:p w14:paraId="5520777F" w14:textId="77777777" w:rsidR="00D57474" w:rsidRPr="00547BFA" w:rsidRDefault="00D57474" w:rsidP="00D57474">
      <w:pPr>
        <w:pStyle w:val="CETBodytext"/>
        <w:rPr>
          <w:rFonts w:cs="Arial"/>
          <w:szCs w:val="18"/>
        </w:rPr>
      </w:pPr>
      <w:r w:rsidRPr="00547BFA">
        <w:rPr>
          <w:rStyle w:val="normaltextrun"/>
          <w:rFonts w:cs="Arial"/>
        </w:rPr>
        <w:t>A typical modern wind turbine consists of several key components: a rotor, which includes the blades and the supporting hub, a drive train with various rotating elements, a nacelle and a main frame housing the operational mechanisms, and an advanced control system along with an electrical network to manage and optimize power output. These turbines are engineered to adapt to specific environmental conditions, ensuring maximum efficiency and reliability in energy generation, regardless of whether they are installed onshore or offshore (Manwell, 2009).</w:t>
      </w:r>
      <w:r w:rsidRPr="00547BFA">
        <w:rPr>
          <w:rStyle w:val="eop"/>
          <w:rFonts w:cs="Arial"/>
        </w:rPr>
        <w:t> </w:t>
      </w:r>
    </w:p>
    <w:p w14:paraId="599528D0" w14:textId="77777777" w:rsidR="00D57474" w:rsidRPr="00547BFA" w:rsidRDefault="00D57474" w:rsidP="00D57474">
      <w:pPr>
        <w:pStyle w:val="CETBodytext"/>
        <w:rPr>
          <w:rFonts w:cs="Arial"/>
          <w:szCs w:val="18"/>
        </w:rPr>
      </w:pPr>
      <w:r w:rsidRPr="00547BFA">
        <w:rPr>
          <w:rStyle w:val="normaltextrun"/>
          <w:rFonts w:cs="Arial"/>
        </w:rPr>
        <w:t xml:space="preserve">Wind energy is the fastest growing renewable energy source in recent years, achieving a record increase in the number of wind farms during 2020, a growth that was almost matched in 2021. Due to its profitability, many countries have chosen to invest in this energy source, The 71% of wind energy markets are situated in China, </w:t>
      </w:r>
      <w:r w:rsidRPr="00547BFA">
        <w:rPr>
          <w:rStyle w:val="normaltextrun"/>
          <w:rFonts w:cs="Arial"/>
        </w:rPr>
        <w:lastRenderedPageBreak/>
        <w:t>United States, Germany, India, and Spain in 2022 (Asociación Empresarial Eólica, 2022), with China and the United States being the countries where there has been the highest investment in recent years.</w:t>
      </w:r>
      <w:r w:rsidRPr="00547BFA">
        <w:rPr>
          <w:rStyle w:val="eop"/>
          <w:rFonts w:cs="Arial"/>
        </w:rPr>
        <w:t> </w:t>
      </w:r>
    </w:p>
    <w:p w14:paraId="7114896C" w14:textId="0E7D90B9" w:rsidR="00333BAD" w:rsidRPr="00547BFA" w:rsidRDefault="00D57474" w:rsidP="40C95DA2">
      <w:pPr>
        <w:pStyle w:val="CETBodytext"/>
        <w:rPr>
          <w:rStyle w:val="eop"/>
          <w:rFonts w:cs="Arial"/>
        </w:rPr>
      </w:pPr>
      <w:r w:rsidRPr="00547BFA">
        <w:rPr>
          <w:rStyle w:val="normaltextrun"/>
          <w:rFonts w:cs="Arial"/>
        </w:rPr>
        <w:t>However, the increase in the use of new technologies that seek to achieve greater efficiencies and improve the obtaining of this energy brings with it risks. For this reason, research has been carried out that collects data from 4</w:t>
      </w:r>
      <w:r w:rsidR="36D73285" w:rsidRPr="00547BFA">
        <w:rPr>
          <w:rStyle w:val="normaltextrun"/>
          <w:rFonts w:cs="Arial"/>
        </w:rPr>
        <w:t>78</w:t>
      </w:r>
      <w:r w:rsidRPr="00547BFA">
        <w:rPr>
          <w:rStyle w:val="normaltextrun"/>
          <w:rFonts w:cs="Arial"/>
        </w:rPr>
        <w:t xml:space="preserve"> accidents </w:t>
      </w:r>
      <w:r w:rsidR="70E4E988" w:rsidRPr="00547BFA">
        <w:rPr>
          <w:rStyle w:val="normaltextrun"/>
          <w:rFonts w:cs="Arial"/>
        </w:rPr>
        <w:t>worldwide</w:t>
      </w:r>
      <w:r w:rsidRPr="00547BFA">
        <w:rPr>
          <w:rStyle w:val="normaltextrun"/>
          <w:rFonts w:cs="Arial"/>
        </w:rPr>
        <w:t>, from the year 2000 to 2024, with the aim of understanding the causes of these accidents, to prevent and correct them in the future.</w:t>
      </w:r>
      <w:r w:rsidRPr="00547BFA">
        <w:rPr>
          <w:rStyle w:val="eop"/>
          <w:rFonts w:cs="Arial"/>
        </w:rPr>
        <w:t> </w:t>
      </w:r>
    </w:p>
    <w:p w14:paraId="3E2B9E60" w14:textId="2A5A974B" w:rsidR="005230E5" w:rsidRPr="00547BFA" w:rsidRDefault="00E645BF" w:rsidP="00424D6B">
      <w:pPr>
        <w:rPr>
          <w:rFonts w:cs="Arial"/>
        </w:rPr>
      </w:pPr>
      <w:r w:rsidRPr="00547BFA">
        <w:rPr>
          <w:rStyle w:val="eop"/>
          <w:rFonts w:cs="Arial"/>
        </w:rPr>
        <w:t xml:space="preserve">Fires </w:t>
      </w:r>
      <w:r w:rsidR="00ED4A4B" w:rsidRPr="00547BFA">
        <w:rPr>
          <w:rStyle w:val="eop"/>
          <w:rFonts w:cs="Arial"/>
        </w:rPr>
        <w:t>are</w:t>
      </w:r>
      <w:r w:rsidRPr="00547BFA">
        <w:rPr>
          <w:rStyle w:val="eop"/>
          <w:rFonts w:cs="Arial"/>
        </w:rPr>
        <w:t xml:space="preserve"> the second most common type of accident</w:t>
      </w:r>
      <w:r w:rsidR="00ED4A4B" w:rsidRPr="00547BFA">
        <w:rPr>
          <w:rStyle w:val="eop"/>
          <w:rFonts w:cs="Arial"/>
        </w:rPr>
        <w:t xml:space="preserve"> within wind turbines,</w:t>
      </w:r>
      <w:r w:rsidR="0065066E" w:rsidRPr="00547BFA">
        <w:rPr>
          <w:rStyle w:val="eop"/>
          <w:rFonts w:cs="Arial"/>
        </w:rPr>
        <w:t xml:space="preserve"> representing a significant threat to wind </w:t>
      </w:r>
      <w:r w:rsidR="00C53280" w:rsidRPr="00547BFA">
        <w:rPr>
          <w:rStyle w:val="eop"/>
          <w:rFonts w:cs="Arial"/>
        </w:rPr>
        <w:t>turbines</w:t>
      </w:r>
      <w:r w:rsidR="0065066E" w:rsidRPr="00547BFA">
        <w:rPr>
          <w:rStyle w:val="eop"/>
          <w:rFonts w:cs="Arial"/>
        </w:rPr>
        <w:t xml:space="preserve">, </w:t>
      </w:r>
      <w:r w:rsidR="00424D6B" w:rsidRPr="00547BFA">
        <w:rPr>
          <w:rStyle w:val="eop"/>
          <w:rFonts w:cs="Arial"/>
        </w:rPr>
        <w:t>with</w:t>
      </w:r>
      <w:r w:rsidR="00C80E1B" w:rsidRPr="00547BFA">
        <w:rPr>
          <w:rStyle w:val="eop"/>
          <w:rFonts w:cs="Arial"/>
        </w:rPr>
        <w:t xml:space="preserve"> how hard it is to fight this</w:t>
      </w:r>
      <w:r w:rsidR="00C53280" w:rsidRPr="00547BFA">
        <w:rPr>
          <w:rStyle w:val="eop"/>
          <w:rFonts w:cs="Arial"/>
        </w:rPr>
        <w:t>,</w:t>
      </w:r>
      <w:r w:rsidR="00C80E1B" w:rsidRPr="00547BFA">
        <w:rPr>
          <w:rStyle w:val="eop"/>
          <w:rFonts w:cs="Arial"/>
        </w:rPr>
        <w:t xml:space="preserve"> most of </w:t>
      </w:r>
      <w:r w:rsidR="00491113" w:rsidRPr="00547BFA">
        <w:rPr>
          <w:rStyle w:val="eop"/>
          <w:rFonts w:cs="Arial"/>
        </w:rPr>
        <w:t>these fires</w:t>
      </w:r>
      <w:r w:rsidR="00C80E1B" w:rsidRPr="00547BFA">
        <w:rPr>
          <w:rStyle w:val="eop"/>
          <w:rFonts w:cs="Arial"/>
        </w:rPr>
        <w:t xml:space="preserve"> </w:t>
      </w:r>
      <w:r w:rsidR="00C53280" w:rsidRPr="00547BFA">
        <w:rPr>
          <w:rStyle w:val="eop"/>
          <w:rFonts w:cs="Arial"/>
        </w:rPr>
        <w:t xml:space="preserve">occur at </w:t>
      </w:r>
      <w:r w:rsidR="00E01025" w:rsidRPr="00547BFA">
        <w:rPr>
          <w:rStyle w:val="eop"/>
          <w:rFonts w:cs="Arial"/>
        </w:rPr>
        <w:t xml:space="preserve">considerable </w:t>
      </w:r>
      <w:r w:rsidR="004875C0" w:rsidRPr="00547BFA">
        <w:rPr>
          <w:rFonts w:cs="Arial"/>
        </w:rPr>
        <w:t>heights</w:t>
      </w:r>
      <w:r w:rsidR="00E01025" w:rsidRPr="00547BFA">
        <w:rPr>
          <w:rStyle w:val="eop"/>
          <w:rFonts w:cs="Arial"/>
        </w:rPr>
        <w:t xml:space="preserve"> makin</w:t>
      </w:r>
      <w:r w:rsidR="007404BB" w:rsidRPr="00547BFA">
        <w:rPr>
          <w:rStyle w:val="eop"/>
          <w:rFonts w:cs="Arial"/>
        </w:rPr>
        <w:t xml:space="preserve">g any attempt at fighting them </w:t>
      </w:r>
      <w:r w:rsidR="00FD5971" w:rsidRPr="00547BFA">
        <w:rPr>
          <w:rStyle w:val="eop"/>
          <w:rFonts w:cs="Arial"/>
        </w:rPr>
        <w:t>virtually impossible</w:t>
      </w:r>
      <w:r w:rsidR="00980E6D" w:rsidRPr="00547BFA">
        <w:rPr>
          <w:rStyle w:val="eop"/>
          <w:rFonts w:cs="Arial"/>
        </w:rPr>
        <w:t xml:space="preserve">, making the </w:t>
      </w:r>
      <w:r w:rsidR="00C45916" w:rsidRPr="00547BFA">
        <w:rPr>
          <w:rStyle w:val="eop"/>
          <w:rFonts w:cs="Arial"/>
        </w:rPr>
        <w:t>probability</w:t>
      </w:r>
      <w:r w:rsidR="00980E6D" w:rsidRPr="00547BFA">
        <w:rPr>
          <w:rStyle w:val="eop"/>
          <w:rFonts w:cs="Arial"/>
        </w:rPr>
        <w:t xml:space="preserve"> of scattering flaming debris at a high radius from the </w:t>
      </w:r>
      <w:r w:rsidR="00C45916" w:rsidRPr="00547BFA">
        <w:rPr>
          <w:rStyle w:val="eop"/>
          <w:rFonts w:cs="Arial"/>
        </w:rPr>
        <w:t xml:space="preserve">origin, this way starting </w:t>
      </w:r>
      <w:r w:rsidR="008457CB" w:rsidRPr="00547BFA">
        <w:rPr>
          <w:rStyle w:val="eop"/>
          <w:rFonts w:cs="Arial"/>
        </w:rPr>
        <w:t>wildfires</w:t>
      </w:r>
      <w:r w:rsidR="00C45916" w:rsidRPr="00547BFA">
        <w:rPr>
          <w:rStyle w:val="eop"/>
          <w:rFonts w:cs="Arial"/>
        </w:rPr>
        <w:t xml:space="preserve">. </w:t>
      </w:r>
      <w:r w:rsidR="008457CB" w:rsidRPr="00547BFA">
        <w:rPr>
          <w:rStyle w:val="eop"/>
          <w:rFonts w:cs="Arial"/>
        </w:rPr>
        <w:t xml:space="preserve">It is known fires posse a significant danger to wind </w:t>
      </w:r>
      <w:r w:rsidR="004365B8" w:rsidRPr="00547BFA">
        <w:rPr>
          <w:rStyle w:val="eop"/>
          <w:rFonts w:cs="Arial"/>
        </w:rPr>
        <w:t>turbines</w:t>
      </w:r>
      <w:r w:rsidR="008457CB" w:rsidRPr="00547BFA">
        <w:rPr>
          <w:rStyle w:val="eop"/>
          <w:rFonts w:cs="Arial"/>
        </w:rPr>
        <w:t xml:space="preserve">, what is not know is how much of a </w:t>
      </w:r>
      <w:r w:rsidR="00206B77" w:rsidRPr="00547BFA">
        <w:rPr>
          <w:rStyle w:val="eop"/>
          <w:rFonts w:cs="Arial"/>
        </w:rPr>
        <w:t xml:space="preserve">danger they pose since most of </w:t>
      </w:r>
      <w:r w:rsidR="004365B8" w:rsidRPr="00547BFA">
        <w:rPr>
          <w:rStyle w:val="eop"/>
          <w:rFonts w:cs="Arial"/>
        </w:rPr>
        <w:t>these types of accidents</w:t>
      </w:r>
      <w:r w:rsidR="00206B77" w:rsidRPr="00547BFA">
        <w:rPr>
          <w:rStyle w:val="eop"/>
          <w:rFonts w:cs="Arial"/>
        </w:rPr>
        <w:t xml:space="preserve"> go underreported, with some estimations as high as 90% of fires going under reported (</w:t>
      </w:r>
      <w:r w:rsidR="004365B8" w:rsidRPr="00547BFA">
        <w:rPr>
          <w:rStyle w:val="eop"/>
          <w:rFonts w:cs="Arial"/>
        </w:rPr>
        <w:t>Uadiale et al., 2014).</w:t>
      </w:r>
    </w:p>
    <w:p w14:paraId="40CC71C3" w14:textId="4520BC16" w:rsidR="00D57474" w:rsidRDefault="00333BAD" w:rsidP="00D57474">
      <w:pPr>
        <w:pStyle w:val="CETHeading1"/>
        <w:rPr>
          <w:rStyle w:val="eop"/>
        </w:rPr>
      </w:pPr>
      <w:r w:rsidRPr="00333BAD">
        <w:rPr>
          <w:rStyle w:val="eop"/>
        </w:rPr>
        <w:t>Methodology</w:t>
      </w:r>
    </w:p>
    <w:p w14:paraId="3D2407D7" w14:textId="22F86590" w:rsidR="00D57474" w:rsidRPr="00354378" w:rsidRDefault="00D57474" w:rsidP="008176DE">
      <w:pPr>
        <w:rPr>
          <w:rStyle w:val="eop"/>
        </w:rPr>
      </w:pPr>
      <w:r w:rsidRPr="08D8FF1D">
        <w:rPr>
          <w:rStyle w:val="eop"/>
        </w:rPr>
        <w:t xml:space="preserve">An extensive database </w:t>
      </w:r>
      <w:r w:rsidR="00110CE6" w:rsidRPr="08D8FF1D">
        <w:rPr>
          <w:rStyle w:val="eop"/>
        </w:rPr>
        <w:t xml:space="preserve">containing 478 fire incidents </w:t>
      </w:r>
      <w:r w:rsidRPr="08D8FF1D">
        <w:rPr>
          <w:rStyle w:val="eop"/>
        </w:rPr>
        <w:t xml:space="preserve">was compiled ranging from the start of 2000 to the last months of 2024 with the last accident recorded in September, </w:t>
      </w:r>
      <w:r w:rsidR="00B67661" w:rsidRPr="08D8FF1D">
        <w:rPr>
          <w:rStyle w:val="eop"/>
        </w:rPr>
        <w:t>only fires involving wind turbines were considered omitting those that happened in manufacture, construction or energy storage systems</w:t>
      </w:r>
      <w:r w:rsidR="00C20857" w:rsidRPr="08D8FF1D">
        <w:rPr>
          <w:rStyle w:val="eop"/>
        </w:rPr>
        <w:t xml:space="preserve">. Most of </w:t>
      </w:r>
      <w:r w:rsidR="00C20857" w:rsidRPr="00547BFA">
        <w:rPr>
          <w:rStyle w:val="eop"/>
        </w:rPr>
        <w:t xml:space="preserve">these accidents were selected from the </w:t>
      </w:r>
      <w:r w:rsidR="4D932E84" w:rsidRPr="00547BFA">
        <w:rPr>
          <w:rStyle w:val="eop"/>
        </w:rPr>
        <w:t>Scotland against spin accident</w:t>
      </w:r>
      <w:r w:rsidR="00C20857" w:rsidRPr="00547BFA">
        <w:rPr>
          <w:rStyle w:val="eop"/>
        </w:rPr>
        <w:t xml:space="preserve"> database, </w:t>
      </w:r>
      <w:r w:rsidR="00F926AA" w:rsidRPr="00547BFA">
        <w:rPr>
          <w:rStyle w:val="eop"/>
        </w:rPr>
        <w:t xml:space="preserve">other sources were also used, like </w:t>
      </w:r>
      <w:r w:rsidR="00354378" w:rsidRPr="00547BFA">
        <w:rPr>
          <w:rStyle w:val="eop"/>
        </w:rPr>
        <w:t xml:space="preserve">Wind Watch, and various news reports </w:t>
      </w:r>
      <w:r w:rsidR="00715FA0" w:rsidRPr="00547BFA">
        <w:rPr>
          <w:rStyle w:val="eop"/>
        </w:rPr>
        <w:t>to complete the database</w:t>
      </w:r>
      <w:r w:rsidR="000C0330" w:rsidRPr="00547BFA">
        <w:rPr>
          <w:rStyle w:val="eop"/>
        </w:rPr>
        <w:t>.</w:t>
      </w:r>
      <w:r w:rsidR="008176DE" w:rsidRPr="00547BFA">
        <w:rPr>
          <w:rStyle w:val="eop"/>
        </w:rPr>
        <w:t xml:space="preserve"> For the aim of this historical analysis, this being to analyse trends in wind turbine fires, therefore all the accidents were divided into two blocks, the first one spanning from 2000-2012 and the second from 2013-2024. </w:t>
      </w:r>
      <w:r w:rsidR="000C0330" w:rsidRPr="00547BFA">
        <w:rPr>
          <w:rStyle w:val="eop"/>
        </w:rPr>
        <w:t>T</w:t>
      </w:r>
      <w:r w:rsidR="008E5680" w:rsidRPr="00547BFA">
        <w:rPr>
          <w:rStyle w:val="eop"/>
        </w:rPr>
        <w:t>o</w:t>
      </w:r>
      <w:r w:rsidR="001C7AAB" w:rsidRPr="00547BFA">
        <w:rPr>
          <w:rStyle w:val="eop"/>
        </w:rPr>
        <w:t xml:space="preserve"> make a more robust analysis </w:t>
      </w:r>
      <w:r w:rsidR="003A46B0" w:rsidRPr="00547BFA">
        <w:rPr>
          <w:rStyle w:val="eop"/>
        </w:rPr>
        <w:t xml:space="preserve">in some </w:t>
      </w:r>
      <w:r w:rsidR="003A46B0" w:rsidRPr="00547BFA">
        <w:t>cases</w:t>
      </w:r>
      <w:r w:rsidR="003A46B0" w:rsidRPr="08D8FF1D">
        <w:rPr>
          <w:rStyle w:val="eop"/>
        </w:rPr>
        <w:t xml:space="preserve"> it was possible</w:t>
      </w:r>
      <w:r w:rsidR="008E5680" w:rsidRPr="08D8FF1D">
        <w:rPr>
          <w:rStyle w:val="eop"/>
        </w:rPr>
        <w:t>, with the help of the reported location,</w:t>
      </w:r>
      <w:r w:rsidR="003A46B0" w:rsidRPr="08D8FF1D">
        <w:rPr>
          <w:rStyle w:val="eop"/>
        </w:rPr>
        <w:t xml:space="preserve"> to find the wind farm were the accident</w:t>
      </w:r>
      <w:r w:rsidR="00747B59" w:rsidRPr="08D8FF1D">
        <w:rPr>
          <w:rStyle w:val="eop"/>
        </w:rPr>
        <w:t>s</w:t>
      </w:r>
      <w:r w:rsidR="003A46B0" w:rsidRPr="08D8FF1D">
        <w:rPr>
          <w:rStyle w:val="eop"/>
        </w:rPr>
        <w:t xml:space="preserve"> happened </w:t>
      </w:r>
      <w:r w:rsidR="00747B59" w:rsidRPr="08D8FF1D">
        <w:rPr>
          <w:rStyle w:val="eop"/>
        </w:rPr>
        <w:t xml:space="preserve">with the help of </w:t>
      </w:r>
      <w:r w:rsidR="00CC2B20" w:rsidRPr="08D8FF1D">
        <w:rPr>
          <w:rStyle w:val="eop"/>
        </w:rPr>
        <w:t xml:space="preserve">mostly the wind power database of wind </w:t>
      </w:r>
      <w:r w:rsidR="003622D9" w:rsidRPr="08D8FF1D">
        <w:rPr>
          <w:rStyle w:val="eop"/>
        </w:rPr>
        <w:t>making it</w:t>
      </w:r>
      <w:r w:rsidR="00BC044B" w:rsidRPr="08D8FF1D">
        <w:rPr>
          <w:rStyle w:val="eop"/>
        </w:rPr>
        <w:t xml:space="preserve"> possible to learn more about the type of turbine involved in the fire</w:t>
      </w:r>
      <w:r w:rsidR="004D04D1" w:rsidRPr="08D8FF1D">
        <w:rPr>
          <w:rStyle w:val="eop"/>
        </w:rPr>
        <w:t xml:space="preserve">. </w:t>
      </w:r>
    </w:p>
    <w:p w14:paraId="6A7F73B9" w14:textId="28D8EE5D" w:rsidR="00333BAD" w:rsidRDefault="00547BFA" w:rsidP="00333BAD">
      <w:pPr>
        <w:pStyle w:val="CETHeading1"/>
        <w:rPr>
          <w:rStyle w:val="eop"/>
        </w:rPr>
      </w:pPr>
      <w:r>
        <w:rPr>
          <w:rStyle w:val="eop"/>
        </w:rPr>
        <w:t xml:space="preserve">Results and Discussion </w:t>
      </w:r>
    </w:p>
    <w:p w14:paraId="3077A79D" w14:textId="6778BBE0" w:rsidR="00573B92" w:rsidRDefault="00573B92" w:rsidP="3DA95DA8">
      <w:pPr>
        <w:pStyle w:val="CETBodytext"/>
      </w:pPr>
      <w:r>
        <w:t xml:space="preserve">There were </w:t>
      </w:r>
      <w:r w:rsidR="00D85C69">
        <w:t>five</w:t>
      </w:r>
      <w:r w:rsidR="17CE634D">
        <w:t xml:space="preserve"> main aspects of the accidents that were analy</w:t>
      </w:r>
      <w:r w:rsidR="00FC10C9">
        <w:t>ze</w:t>
      </w:r>
      <w:r w:rsidR="17CE634D">
        <w:t>d</w:t>
      </w:r>
      <w:r w:rsidR="00105D75">
        <w:t xml:space="preserve">, those were </w:t>
      </w:r>
      <w:r w:rsidR="00D71DD0">
        <w:t xml:space="preserve">the year that the accident happened, the continent, </w:t>
      </w:r>
      <w:r w:rsidR="002E2E6C">
        <w:t xml:space="preserve">whether it was an onshore or offshore wind farm, </w:t>
      </w:r>
      <w:r w:rsidR="000D1E9D">
        <w:t>the manufacturer and the power of each wind turbine.</w:t>
      </w:r>
    </w:p>
    <w:p w14:paraId="17FA32B7" w14:textId="0B2DCF4B" w:rsidR="009A5963" w:rsidRDefault="00AF6BDF" w:rsidP="001C3529">
      <w:pPr>
        <w:pStyle w:val="CETBodytext"/>
      </w:pPr>
      <w:r>
        <w:t xml:space="preserve">It can be seen in </w:t>
      </w:r>
      <w:r w:rsidR="00300B94">
        <w:t>Figure</w:t>
      </w:r>
      <w:r w:rsidR="00636960">
        <w:t xml:space="preserve"> 1</w:t>
      </w:r>
      <w:r w:rsidR="006671F5">
        <w:t xml:space="preserve"> </w:t>
      </w:r>
      <w:r w:rsidR="001C378D">
        <w:t xml:space="preserve">that </w:t>
      </w:r>
      <w:r w:rsidR="008373A3">
        <w:t xml:space="preserve">the </w:t>
      </w:r>
      <w:r w:rsidR="00547BFA">
        <w:t>number</w:t>
      </w:r>
      <w:r w:rsidR="008373A3">
        <w:t xml:space="preserve"> of fires per year is consistent</w:t>
      </w:r>
      <w:r w:rsidR="00FC1CBA">
        <w:t xml:space="preserve"> there is a small </w:t>
      </w:r>
      <w:r w:rsidR="0038267F">
        <w:t>difference</w:t>
      </w:r>
      <w:r w:rsidR="008144AD">
        <w:t xml:space="preserve"> between the two </w:t>
      </w:r>
      <w:r w:rsidR="0038267F">
        <w:t>blocks, in the firsts there is 209 and in the second 269</w:t>
      </w:r>
      <w:r w:rsidR="004C13A3">
        <w:t xml:space="preserve">, assuming that the proportion of reported accidents is </w:t>
      </w:r>
      <w:r w:rsidR="00BD00C2">
        <w:t xml:space="preserve">the same </w:t>
      </w:r>
      <w:r w:rsidR="002F7813">
        <w:t>throughout the years</w:t>
      </w:r>
      <w:r w:rsidR="00BD00C2">
        <w:t xml:space="preserve">, this is a good indication that fires are not increasing </w:t>
      </w:r>
      <w:r w:rsidR="0038267F">
        <w:t xml:space="preserve">significantly </w:t>
      </w:r>
      <w:r w:rsidR="00BD00C2">
        <w:t xml:space="preserve">as the </w:t>
      </w:r>
      <w:r w:rsidR="002F7813">
        <w:t xml:space="preserve">production and </w:t>
      </w:r>
      <w:r w:rsidR="00547BFA">
        <w:t>number</w:t>
      </w:r>
      <w:r w:rsidR="002F7813">
        <w:t xml:space="preserve"> of </w:t>
      </w:r>
      <w:r w:rsidR="004972EA">
        <w:t xml:space="preserve">turbines worldwide increases.  </w:t>
      </w:r>
      <w:r w:rsidR="0038267F">
        <w:t>Especially considering t</w:t>
      </w:r>
      <w:r w:rsidR="00AA7B33">
        <w:t>h</w:t>
      </w:r>
      <w:r w:rsidR="00A02763">
        <w:t>at in the years 2000 and 2001 there wasn’t a lot of information available.</w:t>
      </w:r>
    </w:p>
    <w:p w14:paraId="485F4B98" w14:textId="4495FBC5" w:rsidR="000D1E9D" w:rsidRDefault="00316C2D" w:rsidP="001C3529">
      <w:pPr>
        <w:pStyle w:val="CETCaption"/>
      </w:pPr>
      <w:r w:rsidRPr="001C3529">
        <w:rPr>
          <w:noProof/>
        </w:rPr>
        <w:drawing>
          <wp:inline distT="0" distB="0" distL="0" distR="0" wp14:anchorId="48E87E38" wp14:editId="3A83A44F">
            <wp:extent cx="5501924" cy="2296647"/>
            <wp:effectExtent l="0" t="0" r="10160" b="15240"/>
            <wp:docPr id="177611047" name="Chart 1">
              <a:extLst xmlns:a="http://schemas.openxmlformats.org/drawingml/2006/main">
                <a:ext uri="{FF2B5EF4-FFF2-40B4-BE49-F238E27FC236}">
                  <a16:creationId xmlns:a16="http://schemas.microsoft.com/office/drawing/2014/main" id="{9E2209E5-35AC-1F2B-563E-07455C17DA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4FA7C9" w14:textId="26139842" w:rsidR="006F0C9B" w:rsidRDefault="00D107A7" w:rsidP="001C3529">
      <w:pPr>
        <w:pStyle w:val="CETCaption"/>
        <w:rPr>
          <w:rStyle w:val="eop"/>
        </w:rPr>
      </w:pPr>
      <w:r>
        <w:rPr>
          <w:rStyle w:val="eop"/>
        </w:rPr>
        <w:t>Figure 1</w:t>
      </w:r>
      <w:r w:rsidR="002F21DB">
        <w:rPr>
          <w:rStyle w:val="eop"/>
        </w:rPr>
        <w:t xml:space="preserve">: </w:t>
      </w:r>
      <w:r w:rsidR="00C5434F">
        <w:rPr>
          <w:rStyle w:val="eop"/>
        </w:rPr>
        <w:t xml:space="preserve">Fire </w:t>
      </w:r>
      <w:r w:rsidR="00941BF4">
        <w:rPr>
          <w:rStyle w:val="eop"/>
        </w:rPr>
        <w:t>incidents from 2000 to September 2024</w:t>
      </w:r>
      <w:r w:rsidR="00547BFA">
        <w:rPr>
          <w:rStyle w:val="eop"/>
        </w:rPr>
        <w:t>.</w:t>
      </w:r>
    </w:p>
    <w:p w14:paraId="590FC28C" w14:textId="5CD18507" w:rsidR="007F1065" w:rsidRDefault="00AA2BD3" w:rsidP="001C3529">
      <w:pPr>
        <w:pStyle w:val="CETBodytext"/>
        <w:rPr>
          <w:rStyle w:val="eop"/>
        </w:rPr>
      </w:pPr>
      <w:r>
        <w:rPr>
          <w:rStyle w:val="eop"/>
        </w:rPr>
        <w:t xml:space="preserve">Even </w:t>
      </w:r>
      <w:r w:rsidR="00A006AF">
        <w:rPr>
          <w:rStyle w:val="eop"/>
        </w:rPr>
        <w:t>though</w:t>
      </w:r>
      <w:r>
        <w:rPr>
          <w:rStyle w:val="eop"/>
        </w:rPr>
        <w:t xml:space="preserve"> this is a worldwide </w:t>
      </w:r>
      <w:r w:rsidR="00BC466C">
        <w:rPr>
          <w:rStyle w:val="eop"/>
        </w:rPr>
        <w:t xml:space="preserve">analysis </w:t>
      </w:r>
      <w:r w:rsidR="005C3E85">
        <w:rPr>
          <w:rStyle w:val="eop"/>
        </w:rPr>
        <w:t>it is considered that this is the part that suffers the most from the underreporting of fire accidents in wind turbines</w:t>
      </w:r>
      <w:r w:rsidR="00CF54EC">
        <w:rPr>
          <w:rStyle w:val="eop"/>
        </w:rPr>
        <w:t xml:space="preserve">, in Figure 2 can be seen that </w:t>
      </w:r>
      <w:r w:rsidR="00641328">
        <w:rPr>
          <w:rStyle w:val="eop"/>
        </w:rPr>
        <w:t>Asia</w:t>
      </w:r>
      <w:r w:rsidR="00CF54EC">
        <w:rPr>
          <w:rStyle w:val="eop"/>
        </w:rPr>
        <w:t xml:space="preserve"> and </w:t>
      </w:r>
      <w:r w:rsidR="00641328">
        <w:rPr>
          <w:rStyle w:val="eop"/>
        </w:rPr>
        <w:t>Oceania</w:t>
      </w:r>
      <w:r w:rsidR="00AE4D56">
        <w:rPr>
          <w:rStyle w:val="eop"/>
        </w:rPr>
        <w:t xml:space="preserve"> have a significantly lower rate of fires, </w:t>
      </w:r>
      <w:r w:rsidR="00641328">
        <w:rPr>
          <w:rStyle w:val="eop"/>
        </w:rPr>
        <w:t>this seems strange considering that China is an important producer of wind energy</w:t>
      </w:r>
      <w:r w:rsidR="009D2344">
        <w:rPr>
          <w:rStyle w:val="eop"/>
        </w:rPr>
        <w:t xml:space="preserve">, </w:t>
      </w:r>
      <w:r w:rsidR="00103119">
        <w:rPr>
          <w:rStyle w:val="eop"/>
        </w:rPr>
        <w:t xml:space="preserve">and a study </w:t>
      </w:r>
      <w:r w:rsidR="00667734">
        <w:rPr>
          <w:rStyle w:val="eop"/>
        </w:rPr>
        <w:t>analyzing</w:t>
      </w:r>
      <w:r w:rsidR="00656BD1">
        <w:rPr>
          <w:rStyle w:val="eop"/>
        </w:rPr>
        <w:t xml:space="preserve"> different faults of wind </w:t>
      </w:r>
      <w:r w:rsidR="00667734">
        <w:rPr>
          <w:rStyle w:val="eop"/>
        </w:rPr>
        <w:t>turbines</w:t>
      </w:r>
      <w:r w:rsidR="00656BD1">
        <w:rPr>
          <w:rStyle w:val="eop"/>
        </w:rPr>
        <w:t xml:space="preserve"> in </w:t>
      </w:r>
      <w:r w:rsidR="00667734">
        <w:rPr>
          <w:rStyle w:val="eop"/>
        </w:rPr>
        <w:t>China</w:t>
      </w:r>
      <w:r w:rsidR="00656BD1">
        <w:rPr>
          <w:rStyle w:val="eop"/>
        </w:rPr>
        <w:t xml:space="preserve"> discovered </w:t>
      </w:r>
      <w:r w:rsidR="00667734">
        <w:rPr>
          <w:rStyle w:val="eop"/>
        </w:rPr>
        <w:t xml:space="preserve">that Chinese manufactured </w:t>
      </w:r>
      <w:r w:rsidR="00667734">
        <w:rPr>
          <w:rStyle w:val="eop"/>
        </w:rPr>
        <w:lastRenderedPageBreak/>
        <w:t xml:space="preserve">wind turbines </w:t>
      </w:r>
      <w:r w:rsidR="005627DC">
        <w:rPr>
          <w:rStyle w:val="eop"/>
        </w:rPr>
        <w:t>were still in an early manufacturing phase</w:t>
      </w:r>
      <w:r w:rsidR="00793209">
        <w:rPr>
          <w:rStyle w:val="eop"/>
        </w:rPr>
        <w:t xml:space="preserve"> (</w:t>
      </w:r>
      <w:r w:rsidR="00112A75">
        <w:rPr>
          <w:rStyle w:val="eop"/>
        </w:rPr>
        <w:t xml:space="preserve">Lin </w:t>
      </w:r>
      <w:r w:rsidR="004D1B50">
        <w:rPr>
          <w:rStyle w:val="eop"/>
        </w:rPr>
        <w:t>et al.</w:t>
      </w:r>
      <w:r w:rsidR="006D5CB3">
        <w:rPr>
          <w:rStyle w:val="eop"/>
        </w:rPr>
        <w:t>, 2015</w:t>
      </w:r>
      <w:r w:rsidR="004D1B50">
        <w:rPr>
          <w:rStyle w:val="eop"/>
        </w:rPr>
        <w:t>)</w:t>
      </w:r>
      <w:r w:rsidR="005627DC">
        <w:rPr>
          <w:rStyle w:val="eop"/>
        </w:rPr>
        <w:t xml:space="preserve">, therefore it would be expected to </w:t>
      </w:r>
      <w:r w:rsidR="00D01A68">
        <w:rPr>
          <w:rStyle w:val="eop"/>
        </w:rPr>
        <w:t xml:space="preserve">have a </w:t>
      </w:r>
      <w:r w:rsidR="003E6213">
        <w:rPr>
          <w:rStyle w:val="eop"/>
        </w:rPr>
        <w:t xml:space="preserve">higher number of </w:t>
      </w:r>
      <w:r w:rsidR="00100AED">
        <w:rPr>
          <w:rStyle w:val="eop"/>
        </w:rPr>
        <w:t xml:space="preserve">accidents, considering there are only three accidents </w:t>
      </w:r>
      <w:r w:rsidR="00BE433E">
        <w:rPr>
          <w:rStyle w:val="eop"/>
        </w:rPr>
        <w:t>reported in this database.</w:t>
      </w:r>
      <w:r w:rsidR="00155C99">
        <w:rPr>
          <w:rStyle w:val="eop"/>
        </w:rPr>
        <w:t xml:space="preserve"> </w:t>
      </w:r>
      <w:r w:rsidR="00C61664">
        <w:rPr>
          <w:rStyle w:val="eop"/>
        </w:rPr>
        <w:t xml:space="preserve">The same can be said for India, although this is the </w:t>
      </w:r>
      <w:r w:rsidR="008C5020">
        <w:rPr>
          <w:rStyle w:val="eop"/>
        </w:rPr>
        <w:t xml:space="preserve">Asiatic country with the most accidents with a total of </w:t>
      </w:r>
      <w:r w:rsidR="00021569">
        <w:rPr>
          <w:rStyle w:val="eop"/>
        </w:rPr>
        <w:t>seven reported accidents</w:t>
      </w:r>
      <w:r w:rsidR="003457F6">
        <w:rPr>
          <w:rStyle w:val="eop"/>
        </w:rPr>
        <w:t>.</w:t>
      </w:r>
    </w:p>
    <w:p w14:paraId="00EAA951" w14:textId="0C14A21B" w:rsidR="003457F6" w:rsidRDefault="00877808" w:rsidP="007F1065">
      <w:pPr>
        <w:pStyle w:val="CETBodytext"/>
        <w:rPr>
          <w:rStyle w:val="eop"/>
        </w:rPr>
      </w:pPr>
      <w:r>
        <w:rPr>
          <w:rStyle w:val="eop"/>
        </w:rPr>
        <w:t xml:space="preserve">Around 87% of the accidents in the Americas come from the United States, </w:t>
      </w:r>
      <w:r w:rsidR="00097B8C">
        <w:rPr>
          <w:rStyle w:val="eop"/>
        </w:rPr>
        <w:t xml:space="preserve">at first it was thought that the US also had a big problem with under reporting, </w:t>
      </w:r>
      <w:r w:rsidR="00C93F8E">
        <w:rPr>
          <w:rStyle w:val="eop"/>
        </w:rPr>
        <w:t xml:space="preserve">but upon further analysis of the power </w:t>
      </w:r>
      <w:r w:rsidR="003D654B">
        <w:rPr>
          <w:rStyle w:val="eop"/>
        </w:rPr>
        <w:t xml:space="preserve">of both </w:t>
      </w:r>
      <w:r w:rsidR="00C90731">
        <w:rPr>
          <w:rStyle w:val="eop"/>
        </w:rPr>
        <w:t>the US and the European Union</w:t>
      </w:r>
      <w:r w:rsidR="004A411C">
        <w:rPr>
          <w:rStyle w:val="eop"/>
        </w:rPr>
        <w:t xml:space="preserve">, </w:t>
      </w:r>
      <w:r w:rsidR="004B5448">
        <w:rPr>
          <w:rStyle w:val="eop"/>
        </w:rPr>
        <w:t xml:space="preserve">throughout </w:t>
      </w:r>
      <w:r w:rsidR="004B5448" w:rsidRPr="00547BFA">
        <w:rPr>
          <w:rStyle w:val="eop"/>
        </w:rPr>
        <w:t xml:space="preserve">the years the EU doubles the capacity of the US, </w:t>
      </w:r>
      <w:r w:rsidR="000E338F" w:rsidRPr="00547BFA">
        <w:rPr>
          <w:rStyle w:val="eop"/>
        </w:rPr>
        <w:t>even though in recent years the later has been closing the gap</w:t>
      </w:r>
      <w:r w:rsidR="0040704D" w:rsidRPr="00547BFA">
        <w:rPr>
          <w:rStyle w:val="eop"/>
        </w:rPr>
        <w:t xml:space="preserve"> (Fernández, 2023)</w:t>
      </w:r>
      <w:r w:rsidR="000E338F" w:rsidRPr="00547BFA">
        <w:rPr>
          <w:rStyle w:val="eop"/>
        </w:rPr>
        <w:t>, which can be reflected on the data</w:t>
      </w:r>
      <w:r w:rsidR="00F82C7A" w:rsidRPr="00547BFA">
        <w:rPr>
          <w:rStyle w:val="eop"/>
        </w:rPr>
        <w:t>, the first block having significantly less accidents than the EU, while the second</w:t>
      </w:r>
      <w:r w:rsidR="00F82C7A">
        <w:rPr>
          <w:rStyle w:val="eop"/>
        </w:rPr>
        <w:t xml:space="preserve"> block </w:t>
      </w:r>
      <w:r w:rsidR="00C708EC">
        <w:rPr>
          <w:rStyle w:val="eop"/>
        </w:rPr>
        <w:t xml:space="preserve">has a </w:t>
      </w:r>
      <w:r w:rsidR="00353E9E">
        <w:rPr>
          <w:rStyle w:val="eop"/>
        </w:rPr>
        <w:t>more comparative number of accidents.</w:t>
      </w:r>
    </w:p>
    <w:p w14:paraId="65F38252" w14:textId="55736E5A" w:rsidR="00A03CB2" w:rsidRDefault="00A03CB2" w:rsidP="001C3529">
      <w:pPr>
        <w:pStyle w:val="CETCaption"/>
        <w:rPr>
          <w:rStyle w:val="eop"/>
        </w:rPr>
      </w:pPr>
      <w:r w:rsidRPr="001C3529">
        <w:rPr>
          <w:noProof/>
        </w:rPr>
        <w:drawing>
          <wp:inline distT="0" distB="0" distL="0" distR="0" wp14:anchorId="485D5407" wp14:editId="24D058FE">
            <wp:extent cx="5282119" cy="2616200"/>
            <wp:effectExtent l="0" t="0" r="13970" b="12700"/>
            <wp:docPr id="1009131224" name="Chart 1">
              <a:extLst xmlns:a="http://schemas.openxmlformats.org/drawingml/2006/main">
                <a:ext uri="{FF2B5EF4-FFF2-40B4-BE49-F238E27FC236}">
                  <a16:creationId xmlns:a16="http://schemas.microsoft.com/office/drawing/2014/main" id="{C0297299-312E-3864-BA65-5B9A358C63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52814E" w14:textId="58C4F12B" w:rsidR="00A03CB2" w:rsidRDefault="00A03CB2" w:rsidP="001C3529">
      <w:pPr>
        <w:pStyle w:val="CETCaption"/>
        <w:rPr>
          <w:rStyle w:val="eop"/>
        </w:rPr>
      </w:pPr>
      <w:r>
        <w:rPr>
          <w:rStyle w:val="eop"/>
        </w:rPr>
        <w:t>Figure 2: Fire</w:t>
      </w:r>
      <w:r w:rsidR="009C65A7">
        <w:rPr>
          <w:rStyle w:val="eop"/>
        </w:rPr>
        <w:t xml:space="preserve"> incidents by continent</w:t>
      </w:r>
      <w:r w:rsidR="00547BFA">
        <w:rPr>
          <w:rStyle w:val="eop"/>
        </w:rPr>
        <w:t>.</w:t>
      </w:r>
    </w:p>
    <w:p w14:paraId="70596AAB" w14:textId="54B151B0" w:rsidR="00353E9E" w:rsidRDefault="0013281E" w:rsidP="00353E9E">
      <w:pPr>
        <w:pStyle w:val="CETBodytext"/>
        <w:rPr>
          <w:rStyle w:val="eop"/>
        </w:rPr>
      </w:pPr>
      <w:r>
        <w:rPr>
          <w:rStyle w:val="eop"/>
        </w:rPr>
        <w:t xml:space="preserve">Most of the reported fires were on onshore wind farms, </w:t>
      </w:r>
      <w:r w:rsidR="00D1748B">
        <w:rPr>
          <w:rStyle w:val="eop"/>
        </w:rPr>
        <w:t>this</w:t>
      </w:r>
      <w:r w:rsidR="00ED4F8E">
        <w:rPr>
          <w:rStyle w:val="eop"/>
        </w:rPr>
        <w:t xml:space="preserve"> is congruent with </w:t>
      </w:r>
      <w:r w:rsidR="00E22C99">
        <w:rPr>
          <w:rStyle w:val="eop"/>
        </w:rPr>
        <w:t>the data that around 90% of the wind energy is produced on onshore windfarms</w:t>
      </w:r>
      <w:r w:rsidR="00EA08E2">
        <w:rPr>
          <w:rStyle w:val="eop"/>
        </w:rPr>
        <w:t xml:space="preserve"> (</w:t>
      </w:r>
      <w:r w:rsidR="00C15A8B">
        <w:rPr>
          <w:rStyle w:val="eop"/>
        </w:rPr>
        <w:t>Tumse et al., 2024)</w:t>
      </w:r>
      <w:r w:rsidR="00E22C99">
        <w:rPr>
          <w:rStyle w:val="eop"/>
        </w:rPr>
        <w:t xml:space="preserve"> as shown in Figure 3</w:t>
      </w:r>
      <w:r w:rsidR="000D4D4C">
        <w:rPr>
          <w:rStyle w:val="eop"/>
        </w:rPr>
        <w:t xml:space="preserve">, also since most of these reports come from news and </w:t>
      </w:r>
      <w:r w:rsidR="00996C3A">
        <w:rPr>
          <w:rStyle w:val="eop"/>
        </w:rPr>
        <w:t xml:space="preserve">different </w:t>
      </w:r>
      <w:r w:rsidR="00421CFA">
        <w:rPr>
          <w:rStyle w:val="eop"/>
        </w:rPr>
        <w:t>independent</w:t>
      </w:r>
      <w:r w:rsidR="00996C3A">
        <w:rPr>
          <w:rStyle w:val="eop"/>
        </w:rPr>
        <w:t xml:space="preserve"> reports not necessarily from the industry,</w:t>
      </w:r>
      <w:r w:rsidR="00421CFA">
        <w:rPr>
          <w:rStyle w:val="eop"/>
        </w:rPr>
        <w:t xml:space="preserve"> therefore</w:t>
      </w:r>
      <w:r w:rsidR="00996C3A">
        <w:rPr>
          <w:rStyle w:val="eop"/>
        </w:rPr>
        <w:t xml:space="preserve"> it</w:t>
      </w:r>
      <w:r w:rsidR="00421CFA">
        <w:rPr>
          <w:rStyle w:val="eop"/>
        </w:rPr>
        <w:t>´</w:t>
      </w:r>
      <w:r w:rsidR="00996C3A">
        <w:rPr>
          <w:rStyle w:val="eop"/>
        </w:rPr>
        <w:t xml:space="preserve">s impossible to know the actual extent of </w:t>
      </w:r>
      <w:r w:rsidR="007D7E9D">
        <w:rPr>
          <w:rStyle w:val="eop"/>
        </w:rPr>
        <w:t xml:space="preserve">fires in offshore turbines. </w:t>
      </w:r>
      <w:r w:rsidR="00222719">
        <w:rPr>
          <w:rStyle w:val="eop"/>
        </w:rPr>
        <w:t xml:space="preserve">There were also thirteen accidents on the database that </w:t>
      </w:r>
      <w:r w:rsidR="001C3529">
        <w:rPr>
          <w:rStyle w:val="eop"/>
        </w:rPr>
        <w:t>could not be verified the location of the fires</w:t>
      </w:r>
      <w:r w:rsidR="00CA57AA">
        <w:rPr>
          <w:rStyle w:val="eop"/>
        </w:rPr>
        <w:t>.</w:t>
      </w:r>
    </w:p>
    <w:p w14:paraId="045E35F0" w14:textId="46122379" w:rsidR="00EA2AC5" w:rsidRDefault="00FA48BD" w:rsidP="001C3529">
      <w:pPr>
        <w:pStyle w:val="CETCaption"/>
        <w:rPr>
          <w:rStyle w:val="eop"/>
        </w:rPr>
      </w:pPr>
      <w:r>
        <w:rPr>
          <w:noProof/>
        </w:rPr>
        <w:drawing>
          <wp:inline distT="0" distB="0" distL="0" distR="0" wp14:anchorId="40E7AD40" wp14:editId="4200A38B">
            <wp:extent cx="5579745" cy="2675882"/>
            <wp:effectExtent l="0" t="0" r="1905" b="10795"/>
            <wp:docPr id="555878543" name="Chart 1">
              <a:extLst xmlns:a="http://schemas.openxmlformats.org/drawingml/2006/main">
                <a:ext uri="{FF2B5EF4-FFF2-40B4-BE49-F238E27FC236}">
                  <a16:creationId xmlns:a16="http://schemas.microsoft.com/office/drawing/2014/main" id="{E1616AC3-9487-7045-77E5-7DC0B5031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CF5E9B" w14:textId="1664EC9E" w:rsidR="00FA48BD" w:rsidRDefault="00FA48BD" w:rsidP="001C3529">
      <w:pPr>
        <w:pStyle w:val="CETCaption"/>
        <w:rPr>
          <w:rStyle w:val="eop"/>
        </w:rPr>
      </w:pPr>
      <w:r>
        <w:rPr>
          <w:rStyle w:val="eop"/>
        </w:rPr>
        <w:t xml:space="preserve">Figure 3: Fire incidents by Onshore or Offshore </w:t>
      </w:r>
      <w:r w:rsidR="00222719">
        <w:rPr>
          <w:rStyle w:val="eop"/>
        </w:rPr>
        <w:t>location</w:t>
      </w:r>
      <w:r w:rsidR="00547BFA">
        <w:rPr>
          <w:rStyle w:val="eop"/>
        </w:rPr>
        <w:t>.</w:t>
      </w:r>
    </w:p>
    <w:p w14:paraId="5D3DB418" w14:textId="340100DE" w:rsidR="00C10052" w:rsidRDefault="00AD6092" w:rsidP="00C10052">
      <w:pPr>
        <w:pStyle w:val="CETBodytext"/>
        <w:rPr>
          <w:rStyle w:val="eop"/>
        </w:rPr>
      </w:pPr>
      <w:r>
        <w:rPr>
          <w:rStyle w:val="eop"/>
        </w:rPr>
        <w:lastRenderedPageBreak/>
        <w:t xml:space="preserve">There </w:t>
      </w:r>
      <w:r w:rsidR="0060473D">
        <w:rPr>
          <w:rStyle w:val="eop"/>
        </w:rPr>
        <w:t xml:space="preserve">is </w:t>
      </w:r>
      <w:r>
        <w:rPr>
          <w:rStyle w:val="eop"/>
        </w:rPr>
        <w:t xml:space="preserve">a big number of </w:t>
      </w:r>
      <w:r w:rsidR="00547BFA">
        <w:rPr>
          <w:rStyle w:val="eop"/>
        </w:rPr>
        <w:t>turbines</w:t>
      </w:r>
      <w:r>
        <w:rPr>
          <w:rStyle w:val="eop"/>
        </w:rPr>
        <w:t xml:space="preserve"> manufactures, </w:t>
      </w:r>
      <w:r w:rsidR="009141C0">
        <w:rPr>
          <w:rStyle w:val="eop"/>
        </w:rPr>
        <w:t>which are constantly changing and acquiring other manufactures, from Figure 4 it can be seen that the market leaders are the ones with the most number of accidents</w:t>
      </w:r>
      <w:r w:rsidR="0008654D">
        <w:rPr>
          <w:rStyle w:val="eop"/>
        </w:rPr>
        <w:t>, this is also slightly biased since</w:t>
      </w:r>
      <w:r w:rsidR="00EE10FB">
        <w:rPr>
          <w:rStyle w:val="eop"/>
        </w:rPr>
        <w:t xml:space="preserve"> a big part of the </w:t>
      </w:r>
      <w:r w:rsidR="005A5E67">
        <w:rPr>
          <w:rStyle w:val="eop"/>
        </w:rPr>
        <w:t>accidents are in the west therefore most of the Asiatic manufacturers are not properly represented</w:t>
      </w:r>
      <w:r w:rsidR="0060473D">
        <w:rPr>
          <w:rStyle w:val="eop"/>
        </w:rPr>
        <w:t xml:space="preserve">. </w:t>
      </w:r>
      <w:r>
        <w:rPr>
          <w:rStyle w:val="eop"/>
        </w:rPr>
        <w:t>The number of accidents without information about the manufacture is the same for both blocks, 49 each</w:t>
      </w:r>
      <w:r w:rsidR="00032FF1">
        <w:rPr>
          <w:rStyle w:val="eop"/>
        </w:rPr>
        <w:t>.</w:t>
      </w:r>
    </w:p>
    <w:p w14:paraId="5061B11E" w14:textId="27073435" w:rsidR="001C3529" w:rsidRPr="00334C3D" w:rsidRDefault="007660F5" w:rsidP="00334C3D">
      <w:pPr>
        <w:pStyle w:val="CETCaption"/>
        <w:rPr>
          <w:rStyle w:val="eop"/>
        </w:rPr>
      </w:pPr>
      <w:r>
        <w:rPr>
          <w:noProof/>
        </w:rPr>
        <w:drawing>
          <wp:inline distT="0" distB="0" distL="0" distR="0" wp14:anchorId="62BCEDC8" wp14:editId="39208D19">
            <wp:extent cx="5579745" cy="3613785"/>
            <wp:effectExtent l="0" t="0" r="8255" b="18415"/>
            <wp:docPr id="1417448566" name="Chart 1">
              <a:extLst xmlns:a="http://schemas.openxmlformats.org/drawingml/2006/main">
                <a:ext uri="{FF2B5EF4-FFF2-40B4-BE49-F238E27FC236}">
                  <a16:creationId xmlns:a16="http://schemas.microsoft.com/office/drawing/2014/main" id="{FF69CC4D-EEAC-FD43-A9FE-5668ECD7E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E063C5" w14:textId="38D635C0" w:rsidR="00C10052" w:rsidRPr="00334C3D" w:rsidRDefault="00C10052" w:rsidP="00334C3D">
      <w:pPr>
        <w:pStyle w:val="CETCaption"/>
        <w:rPr>
          <w:rStyle w:val="eop"/>
        </w:rPr>
      </w:pPr>
      <w:r w:rsidRPr="00334C3D">
        <w:rPr>
          <w:rStyle w:val="eop"/>
        </w:rPr>
        <w:t xml:space="preserve">Figure 4: Fire incidents by </w:t>
      </w:r>
      <w:r w:rsidR="0017217F" w:rsidRPr="00334C3D">
        <w:rPr>
          <w:rStyle w:val="eop"/>
        </w:rPr>
        <w:t>turbine manufactures</w:t>
      </w:r>
      <w:r w:rsidR="00547BFA">
        <w:rPr>
          <w:rStyle w:val="eop"/>
        </w:rPr>
        <w:t>.</w:t>
      </w:r>
    </w:p>
    <w:p w14:paraId="08DAE4D9" w14:textId="437E19C2" w:rsidR="0017217F" w:rsidRDefault="00E82F72" w:rsidP="0017217F">
      <w:pPr>
        <w:pStyle w:val="CETBodytext"/>
        <w:rPr>
          <w:rStyle w:val="eop"/>
        </w:rPr>
      </w:pPr>
      <w:r>
        <w:rPr>
          <w:rStyle w:val="eop"/>
        </w:rPr>
        <w:t xml:space="preserve">For the power analysis it’s noted that on the first block there were </w:t>
      </w:r>
      <w:r w:rsidR="00B7544B">
        <w:rPr>
          <w:rStyle w:val="eop"/>
        </w:rPr>
        <w:t>105 accidents where the power of the turbine involved in the fire could not be identified there for, it is possible to see some tendences but it might be misleading</w:t>
      </w:r>
      <w:r w:rsidR="00BA32E9">
        <w:rPr>
          <w:rStyle w:val="eop"/>
        </w:rPr>
        <w:t>, while for the second block the unreported power accident</w:t>
      </w:r>
      <w:r w:rsidR="00E4314F">
        <w:rPr>
          <w:rStyle w:val="eop"/>
        </w:rPr>
        <w:t>s were only 56</w:t>
      </w:r>
      <w:r w:rsidR="00E07AEA">
        <w:rPr>
          <w:rStyle w:val="eop"/>
        </w:rPr>
        <w:t xml:space="preserve"> this is a good sign that the power of </w:t>
      </w:r>
      <w:r w:rsidR="00EC3FC6">
        <w:rPr>
          <w:rStyle w:val="eop"/>
        </w:rPr>
        <w:t xml:space="preserve">turbines is </w:t>
      </w:r>
      <w:r w:rsidR="00086462">
        <w:rPr>
          <w:rStyle w:val="eop"/>
        </w:rPr>
        <w:t>becoming more transparent.</w:t>
      </w:r>
      <w:r w:rsidR="00E933CC">
        <w:rPr>
          <w:rStyle w:val="eop"/>
        </w:rPr>
        <w:t xml:space="preserve"> it</w:t>
      </w:r>
      <w:r w:rsidR="00D4638F">
        <w:rPr>
          <w:rStyle w:val="eop"/>
        </w:rPr>
        <w:t xml:space="preserve"> is also important to consider that the fires within turbines with smaller </w:t>
      </w:r>
      <w:r w:rsidR="00930493">
        <w:rPr>
          <w:rStyle w:val="eop"/>
        </w:rPr>
        <w:t xml:space="preserve">powers are those that are private or residential, </w:t>
      </w:r>
      <w:r w:rsidR="00F62A6D">
        <w:rPr>
          <w:rStyle w:val="eop"/>
        </w:rPr>
        <w:t>therefore</w:t>
      </w:r>
      <w:r w:rsidR="00E4314F">
        <w:rPr>
          <w:rStyle w:val="eop"/>
        </w:rPr>
        <w:t xml:space="preserve"> the peak at </w:t>
      </w:r>
      <w:r w:rsidR="00F62A6D">
        <w:rPr>
          <w:rStyle w:val="eop"/>
        </w:rPr>
        <w:t>2 MW is expected since this is a common type of turbine to have in a wind farm</w:t>
      </w:r>
      <w:r w:rsidR="00847609">
        <w:rPr>
          <w:rStyle w:val="eop"/>
        </w:rPr>
        <w:t xml:space="preserve">. From combining both </w:t>
      </w:r>
      <w:r w:rsidR="0070013F">
        <w:rPr>
          <w:rStyle w:val="eop"/>
        </w:rPr>
        <w:t xml:space="preserve">blocks it can be seen </w:t>
      </w:r>
      <w:r w:rsidR="005E5C4C">
        <w:rPr>
          <w:rStyle w:val="eop"/>
        </w:rPr>
        <w:t xml:space="preserve">in Figure 5 </w:t>
      </w:r>
      <w:r w:rsidR="0070013F">
        <w:rPr>
          <w:rStyle w:val="eop"/>
        </w:rPr>
        <w:t xml:space="preserve">the most at risk are the more common turbines and </w:t>
      </w:r>
      <w:r w:rsidR="00730FD4">
        <w:rPr>
          <w:rStyle w:val="eop"/>
        </w:rPr>
        <w:t>as well</w:t>
      </w:r>
      <w:r w:rsidR="0070013F">
        <w:rPr>
          <w:rStyle w:val="eop"/>
        </w:rPr>
        <w:t xml:space="preserve"> those with </w:t>
      </w:r>
      <w:r w:rsidR="00730FD4">
        <w:rPr>
          <w:rStyle w:val="eop"/>
        </w:rPr>
        <w:t xml:space="preserve">0.6 MW, this most likely signifies older turbines with less modern fire </w:t>
      </w:r>
      <w:r w:rsidR="005E5C4C">
        <w:rPr>
          <w:rStyle w:val="eop"/>
        </w:rPr>
        <w:t>prevention techniques.</w:t>
      </w:r>
    </w:p>
    <w:p w14:paraId="733EB30F" w14:textId="0568CE7A" w:rsidR="0017217F" w:rsidRDefault="000719E8" w:rsidP="00334C3D">
      <w:pPr>
        <w:pStyle w:val="CETCaption"/>
        <w:rPr>
          <w:rStyle w:val="eop"/>
        </w:rPr>
      </w:pPr>
      <w:r>
        <w:rPr>
          <w:noProof/>
        </w:rPr>
        <w:lastRenderedPageBreak/>
        <w:drawing>
          <wp:inline distT="0" distB="0" distL="0" distR="0" wp14:anchorId="20C5C536" wp14:editId="39F46495">
            <wp:extent cx="5579745" cy="2538730"/>
            <wp:effectExtent l="0" t="0" r="8255" b="13970"/>
            <wp:docPr id="1139328716" name="Chart 1">
              <a:extLst xmlns:a="http://schemas.openxmlformats.org/drawingml/2006/main">
                <a:ext uri="{FF2B5EF4-FFF2-40B4-BE49-F238E27FC236}">
                  <a16:creationId xmlns:a16="http://schemas.microsoft.com/office/drawing/2014/main" id="{1E4B0804-1853-0668-9386-F0B7F45B9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4F8A5F" w14:textId="0CD8E41D" w:rsidR="00334C3D" w:rsidRDefault="00334C3D" w:rsidP="00334C3D">
      <w:pPr>
        <w:pStyle w:val="CETCaption"/>
        <w:rPr>
          <w:rStyle w:val="eop"/>
        </w:rPr>
      </w:pPr>
      <w:r>
        <w:rPr>
          <w:rStyle w:val="eop"/>
        </w:rPr>
        <w:t>Figure 5: Fire incidents by wind turbine power</w:t>
      </w:r>
      <w:r w:rsidR="00547BFA">
        <w:rPr>
          <w:rStyle w:val="eop"/>
        </w:rPr>
        <w:t>.</w:t>
      </w:r>
    </w:p>
    <w:p w14:paraId="5C745858" w14:textId="258B1FC3" w:rsidR="00333BAD" w:rsidRDefault="00333BAD" w:rsidP="00333BAD">
      <w:pPr>
        <w:pStyle w:val="CETHeading1"/>
        <w:rPr>
          <w:rStyle w:val="eop"/>
        </w:rPr>
      </w:pPr>
      <w:r w:rsidRPr="00333BAD">
        <w:rPr>
          <w:rStyle w:val="eop"/>
        </w:rPr>
        <w:t>Conclusion</w:t>
      </w:r>
      <w:r w:rsidR="00547BFA">
        <w:rPr>
          <w:rStyle w:val="eop"/>
        </w:rPr>
        <w:t>s</w:t>
      </w:r>
    </w:p>
    <w:p w14:paraId="18C46298" w14:textId="6F972DEF" w:rsidR="002647F4" w:rsidRPr="002647F4" w:rsidRDefault="005708E7" w:rsidP="002647F4">
      <w:pPr>
        <w:pStyle w:val="CETBodytext"/>
      </w:pPr>
      <w:r>
        <w:t>Even though</w:t>
      </w:r>
      <w:r w:rsidR="002647F4">
        <w:t xml:space="preserve"> fires maybe an under </w:t>
      </w:r>
      <w:r>
        <w:t>reported</w:t>
      </w:r>
      <w:r w:rsidR="002647F4">
        <w:t xml:space="preserve"> </w:t>
      </w:r>
      <w:r>
        <w:t>phenomena</w:t>
      </w:r>
      <w:r w:rsidR="002647F4">
        <w:t xml:space="preserve">, from this </w:t>
      </w:r>
      <w:r>
        <w:t>analysis</w:t>
      </w:r>
      <w:r w:rsidR="002647F4">
        <w:t xml:space="preserve"> </w:t>
      </w:r>
      <w:r w:rsidR="00995A84">
        <w:t>the</w:t>
      </w:r>
      <w:r w:rsidR="008F3C1D">
        <w:t xml:space="preserve"> data is congruent, fo</w:t>
      </w:r>
      <w:r w:rsidR="005D3783">
        <w:t>r</w:t>
      </w:r>
      <w:r w:rsidR="008F3C1D">
        <w:t xml:space="preserve"> the most part with </w:t>
      </w:r>
      <w:r w:rsidR="00071011">
        <w:t xml:space="preserve">the </w:t>
      </w:r>
      <w:r w:rsidR="00585231">
        <w:t>wing energy industry</w:t>
      </w:r>
      <w:r w:rsidR="00EC7020">
        <w:t xml:space="preserve">, but there are still a lot of gaps </w:t>
      </w:r>
      <w:r w:rsidR="00B07CC8">
        <w:t>where</w:t>
      </w:r>
      <w:r w:rsidR="00EC7020">
        <w:t xml:space="preserve"> improvements could be made, </w:t>
      </w:r>
      <w:r w:rsidR="00B07CC8">
        <w:t>like the underreporting</w:t>
      </w:r>
      <w:r w:rsidR="00F5480E">
        <w:t xml:space="preserve"> of wind turbine fires </w:t>
      </w:r>
      <w:r w:rsidR="00D62AE4">
        <w:t>in Asia</w:t>
      </w:r>
      <w:r w:rsidR="00233862">
        <w:t>, and t</w:t>
      </w:r>
      <w:r w:rsidR="00D62AE4">
        <w:t xml:space="preserve">he </w:t>
      </w:r>
      <w:r w:rsidR="00233862">
        <w:t xml:space="preserve">question if onshore </w:t>
      </w:r>
      <w:r w:rsidR="00CA57AA">
        <w:t xml:space="preserve">and offshore </w:t>
      </w:r>
      <w:r w:rsidR="0028519C">
        <w:t>windfarms</w:t>
      </w:r>
      <w:r w:rsidR="00CA57AA">
        <w:t xml:space="preserve"> </w:t>
      </w:r>
      <w:r w:rsidR="0028519C">
        <w:t>have the same probability of fires or if this is sol</w:t>
      </w:r>
      <w:r w:rsidR="00BB3E6F">
        <w:t>ely</w:t>
      </w:r>
      <w:r w:rsidR="0028519C">
        <w:t xml:space="preserve"> because offshore fires are significantly underreported</w:t>
      </w:r>
      <w:r w:rsidR="00983798">
        <w:t xml:space="preserve">. </w:t>
      </w:r>
      <w:r w:rsidR="00346A48">
        <w:t xml:space="preserve">As power is concerned </w:t>
      </w:r>
      <w:r w:rsidR="00DF50A5">
        <w:t xml:space="preserve">it seems to have no correlation, at least with this amount of data, with the frequency of </w:t>
      </w:r>
      <w:r w:rsidR="00572ACA">
        <w:t>fires, since it just seems to be that is the most common power capacity, it would be interesting to see the changes in</w:t>
      </w:r>
      <w:r w:rsidR="00ED5D7D">
        <w:t xml:space="preserve"> the next years as older turbines with less capacity get </w:t>
      </w:r>
      <w:r w:rsidR="001427F3">
        <w:t xml:space="preserve">retired and new </w:t>
      </w:r>
      <w:r w:rsidR="00871C5D">
        <w:t>turbines with higher power replace them.</w:t>
      </w:r>
    </w:p>
    <w:p w14:paraId="323DE3EB" w14:textId="77777777" w:rsidR="006777E3" w:rsidRPr="00604C57" w:rsidRDefault="006777E3" w:rsidP="00604C57">
      <w:pPr>
        <w:pStyle w:val="CETBodytext"/>
      </w:pPr>
    </w:p>
    <w:p w14:paraId="459D05E6" w14:textId="77777777" w:rsidR="00600535" w:rsidRPr="00B57B36" w:rsidRDefault="00600535" w:rsidP="00600535">
      <w:pPr>
        <w:pStyle w:val="CETAcknowledgementstitle"/>
      </w:pPr>
      <w:r w:rsidRPr="00B57B36">
        <w:t>Acknowledgments</w:t>
      </w:r>
    </w:p>
    <w:p w14:paraId="5EF15E73" w14:textId="0F527AD3" w:rsidR="00547BFA" w:rsidRDefault="00547BFA" w:rsidP="00547BFA">
      <w:pPr>
        <w:pStyle w:val="CETBodytext"/>
        <w:rPr>
          <w:lang w:val="en-GB"/>
        </w:rPr>
      </w:pPr>
      <w:r w:rsidRPr="0086469A">
        <w:rPr>
          <w:lang w:val="en-GB"/>
        </w:rPr>
        <w:t>The authors acknowledge the Deanship of Scientific Research, Vice Presidency for Graduate Studies and Scientific Research at King Faisal University, Saudi Arabia, for financial support</w:t>
      </w:r>
      <w:r w:rsidR="00B23DFD">
        <w:rPr>
          <w:lang w:val="en-GB"/>
        </w:rPr>
        <w:t xml:space="preserve"> [</w:t>
      </w:r>
      <w:r w:rsidR="00B23DFD" w:rsidRPr="00B23DFD">
        <w:rPr>
          <w:lang w:val="en-GB"/>
        </w:rPr>
        <w:t>KFU250157</w:t>
      </w:r>
      <w:r w:rsidR="00B23DFD">
        <w:rPr>
          <w:lang w:val="en-GB"/>
        </w:rPr>
        <w:t>]</w:t>
      </w:r>
      <w:r>
        <w:rPr>
          <w:lang w:val="en-GB"/>
        </w:rPr>
        <w:t>.</w:t>
      </w:r>
    </w:p>
    <w:p w14:paraId="4C82CF4B" w14:textId="77777777" w:rsidR="00547BFA" w:rsidRPr="0086469A" w:rsidRDefault="00547BFA" w:rsidP="00547BFA">
      <w:pPr>
        <w:pStyle w:val="CETBodytext"/>
        <w:rPr>
          <w:lang w:val="en-GB"/>
        </w:rPr>
      </w:pPr>
    </w:p>
    <w:p w14:paraId="4F1327F8" w14:textId="77777777" w:rsidR="00600535" w:rsidRPr="00B57B36" w:rsidRDefault="00600535" w:rsidP="00600535">
      <w:pPr>
        <w:pStyle w:val="CETReference"/>
      </w:pPr>
      <w:r>
        <w:t>References</w:t>
      </w:r>
    </w:p>
    <w:p w14:paraId="7705AB67" w14:textId="71B368E8" w:rsidR="00803702" w:rsidRPr="00547BFA" w:rsidRDefault="00803702" w:rsidP="000E48AE">
      <w:pPr>
        <w:pStyle w:val="CETReferencetext"/>
        <w:rPr>
          <w:lang w:val="es-MX"/>
        </w:rPr>
      </w:pPr>
      <w:r w:rsidRPr="00803702">
        <w:rPr>
          <w:lang w:val="en-US"/>
        </w:rPr>
        <w:t xml:space="preserve">Fernandez, Lucia. “U.S. And EU: Installed Wind Power Capacity 2022.” </w:t>
      </w:r>
      <w:r w:rsidRPr="00547BFA">
        <w:rPr>
          <w:lang w:val="es-MX"/>
        </w:rPr>
        <w:t>Statista, Mar. 2023, www.statista.com/statistics/215646/cumulative-installed-wind-power-capacity-in-the-us-and-the-eu/.</w:t>
      </w:r>
    </w:p>
    <w:p w14:paraId="0249E587" w14:textId="74C2FA35" w:rsidR="00B236FB" w:rsidRDefault="00760B45" w:rsidP="000E48AE">
      <w:pPr>
        <w:pStyle w:val="CETReferencetext"/>
        <w:rPr>
          <w:lang w:val="en-US"/>
        </w:rPr>
      </w:pPr>
      <w:r>
        <w:rPr>
          <w:lang w:val="en-US"/>
        </w:rPr>
        <w:t xml:space="preserve">Lin Y., Tu L., Liu H., </w:t>
      </w:r>
      <w:r w:rsidR="00524D04">
        <w:rPr>
          <w:lang w:val="en-US"/>
        </w:rPr>
        <w:t xml:space="preserve">Li W., </w:t>
      </w:r>
      <w:r w:rsidR="009F44A3">
        <w:rPr>
          <w:lang w:val="en-US"/>
        </w:rPr>
        <w:t xml:space="preserve">2016, </w:t>
      </w:r>
      <w:r w:rsidR="00524D04">
        <w:rPr>
          <w:lang w:val="en-US"/>
        </w:rPr>
        <w:t>Fault analysis of wind turbines in China</w:t>
      </w:r>
      <w:r w:rsidR="00C032D5">
        <w:rPr>
          <w:lang w:val="en-US"/>
        </w:rPr>
        <w:t xml:space="preserve">, Renewable </w:t>
      </w:r>
      <w:r w:rsidR="00141CCB">
        <w:rPr>
          <w:lang w:val="en-US"/>
        </w:rPr>
        <w:t xml:space="preserve">and Sustainable </w:t>
      </w:r>
      <w:r w:rsidR="00B236FB">
        <w:rPr>
          <w:lang w:val="en-US"/>
        </w:rPr>
        <w:t>Energy Reviews, 55, 482-490</w:t>
      </w:r>
    </w:p>
    <w:p w14:paraId="14C7FF4A" w14:textId="4D0C2254" w:rsidR="009129AA" w:rsidRDefault="009129AA" w:rsidP="000E48AE">
      <w:pPr>
        <w:pStyle w:val="CETReferencetext"/>
        <w:rPr>
          <w:rFonts w:ascii="Times New Roman" w:hAnsi="Times New Roman"/>
          <w:sz w:val="24"/>
          <w:szCs w:val="24"/>
        </w:rPr>
      </w:pPr>
      <w:r w:rsidRPr="08D8FF1D">
        <w:rPr>
          <w:lang w:val="en-US"/>
        </w:rPr>
        <w:t xml:space="preserve">Manwell, J. (2009). WIND ENERGY EXPLAINED. Theory, Design and Application (Second edition). </w:t>
      </w:r>
      <w:r w:rsidRPr="00547BFA">
        <w:rPr>
          <w:lang w:val="en-US"/>
        </w:rPr>
        <w:t>John Wiley &amp; Sons.</w:t>
      </w:r>
    </w:p>
    <w:p w14:paraId="400D892C" w14:textId="77C7ED37" w:rsidR="009129AA" w:rsidRDefault="009129AA" w:rsidP="000E48AE">
      <w:pPr>
        <w:pStyle w:val="CETReferencetext"/>
        <w:rPr>
          <w:lang w:val="en-US"/>
        </w:rPr>
      </w:pPr>
      <w:r w:rsidRPr="08D8FF1D">
        <w:rPr>
          <w:lang w:val="en-US"/>
        </w:rPr>
        <w:t xml:space="preserve">Scotland against Spin. (2024, March 31). Turbine Accident Statistics. Scotland against Spin. </w:t>
      </w:r>
      <w:hyperlink r:id="rId21">
        <w:r w:rsidRPr="08D8FF1D">
          <w:rPr>
            <w:rStyle w:val="Collegamentoipertestuale"/>
            <w:color w:val="auto"/>
            <w:u w:val="none"/>
            <w:lang w:val="en-US"/>
          </w:rPr>
          <w:t>https://scotlandagainstspin.org/turbine-accident-statistics/</w:t>
        </w:r>
      </w:hyperlink>
      <w:r w:rsidRPr="08D8FF1D">
        <w:rPr>
          <w:lang w:val="en-US"/>
        </w:rPr>
        <w:t xml:space="preserve"> </w:t>
      </w:r>
    </w:p>
    <w:p w14:paraId="598F1943" w14:textId="1D13BDE1" w:rsidR="00DB695C" w:rsidRPr="000E48AE" w:rsidRDefault="00E00945" w:rsidP="000E48AE">
      <w:pPr>
        <w:pStyle w:val="CETReferencetext"/>
        <w:rPr>
          <w:rFonts w:eastAsia="Aptos"/>
        </w:rPr>
      </w:pPr>
      <w:r>
        <w:rPr>
          <w:lang w:val="en-US"/>
        </w:rPr>
        <w:t xml:space="preserve">Uadiale S., Urbán E., Carvel R., Lange D., </w:t>
      </w:r>
      <w:r w:rsidR="003231E8">
        <w:rPr>
          <w:lang w:val="en-US"/>
        </w:rPr>
        <w:t xml:space="preserve">Rein G., 2014, Fire </w:t>
      </w:r>
      <w:r w:rsidR="00BB27E7">
        <w:rPr>
          <w:lang w:val="en-US"/>
        </w:rPr>
        <w:t>S</w:t>
      </w:r>
      <w:r w:rsidR="003231E8">
        <w:rPr>
          <w:lang w:val="en-US"/>
        </w:rPr>
        <w:t xml:space="preserve">afety </w:t>
      </w:r>
      <w:r w:rsidR="00BB27E7">
        <w:rPr>
          <w:lang w:val="en-US"/>
        </w:rPr>
        <w:t>S</w:t>
      </w:r>
      <w:r w:rsidR="003231E8">
        <w:rPr>
          <w:lang w:val="en-US"/>
        </w:rPr>
        <w:t>cience</w:t>
      </w:r>
      <w:r w:rsidR="00BB27E7">
        <w:rPr>
          <w:lang w:val="en-US"/>
        </w:rPr>
        <w:t xml:space="preserve">-Proceedings of the Eleventh </w:t>
      </w:r>
      <w:r w:rsidR="00BB27E7" w:rsidRPr="000E48AE">
        <w:t>International Symposium, 983-995</w:t>
      </w:r>
    </w:p>
    <w:p w14:paraId="3CA0C438" w14:textId="7934B3CF" w:rsidR="009129AA" w:rsidRPr="000E48AE" w:rsidRDefault="009129AA" w:rsidP="000E48AE">
      <w:pPr>
        <w:pStyle w:val="CETReferencetext"/>
      </w:pPr>
      <w:r w:rsidRPr="000E48AE">
        <w:t xml:space="preserve">Torkington, S. (2022, November 4). Increase in renewable energy generation. World Economic Forum. </w:t>
      </w:r>
      <w:hyperlink r:id="rId22" w:history="1">
        <w:r w:rsidR="00524D04" w:rsidRPr="000E48AE">
          <w:rPr>
            <w:rStyle w:val="Collegamentoipertestuale"/>
            <w:color w:val="auto"/>
            <w:u w:val="none"/>
          </w:rPr>
          <w:t>https://es.weforum.org/stories/2022/11/estos-5-graficos-muestran-como-ha-incrementado-la-generacion-de-energia-renovable/</w:t>
        </w:r>
      </w:hyperlink>
    </w:p>
    <w:p w14:paraId="2F9032B6" w14:textId="05D25E53" w:rsidR="00306906" w:rsidRPr="000E48AE" w:rsidRDefault="00306906" w:rsidP="000E48AE">
      <w:pPr>
        <w:pStyle w:val="CETReferencetext"/>
        <w:rPr>
          <w:rFonts w:eastAsia="Aptos"/>
        </w:rPr>
      </w:pPr>
      <w:r w:rsidRPr="000E48AE">
        <w:t>Tumse S., Biligili M., Yild</w:t>
      </w:r>
      <w:r w:rsidR="00B71639" w:rsidRPr="000E48AE">
        <w:t xml:space="preserve">irim A., Sahin B., </w:t>
      </w:r>
      <w:r w:rsidR="00667C47" w:rsidRPr="000E48AE">
        <w:t>Comparative Analysis of Global Onshore and Offshore Wind Energy Characteristics and Potentials</w:t>
      </w:r>
      <w:r w:rsidR="00A56DEB" w:rsidRPr="000E48AE">
        <w:t>, 2024</w:t>
      </w:r>
      <w:r w:rsidR="004C6232" w:rsidRPr="000E48AE">
        <w:t>, Sustainability</w:t>
      </w:r>
    </w:p>
    <w:p w14:paraId="11DE2E6B" w14:textId="793A53F1" w:rsidR="009129AA" w:rsidRPr="000E48AE" w:rsidRDefault="009129AA" w:rsidP="000E48AE">
      <w:pPr>
        <w:pStyle w:val="CETReferencetext"/>
        <w:rPr>
          <w:rFonts w:eastAsia="Aptos"/>
        </w:rPr>
      </w:pPr>
      <w:r w:rsidRPr="000E48AE">
        <w:t xml:space="preserve">United Nations. (2024). What is Renewable Energy? United Nations; United Nations. </w:t>
      </w:r>
      <w:hyperlink r:id="rId23">
        <w:r w:rsidRPr="000E48AE">
          <w:rPr>
            <w:rStyle w:val="Collegamentoipertestuale"/>
            <w:color w:val="auto"/>
            <w:u w:val="none"/>
          </w:rPr>
          <w:t>https://www.un.org/en/climatechange/what-is-renewable-energy</w:t>
        </w:r>
      </w:hyperlink>
    </w:p>
    <w:p w14:paraId="1C4F2A55" w14:textId="74AB7C26" w:rsidR="009129AA" w:rsidRDefault="009129AA" w:rsidP="000E48AE">
      <w:pPr>
        <w:pStyle w:val="CETReferencetext"/>
        <w:rPr>
          <w:rFonts w:ascii="Times New Roman" w:hAnsi="Times New Roman"/>
          <w:sz w:val="24"/>
          <w:szCs w:val="24"/>
        </w:rPr>
      </w:pPr>
      <w:r w:rsidRPr="000E48AE">
        <w:t xml:space="preserve">Wind Business Association. (2022). Wind power </w:t>
      </w:r>
      <w:r w:rsidRPr="08D8FF1D">
        <w:rPr>
          <w:lang w:val="en-US"/>
        </w:rPr>
        <w:t xml:space="preserve">in the world. Wind Business Association </w:t>
      </w:r>
      <w:hyperlink r:id="rId24">
        <w:r w:rsidRPr="08D8FF1D">
          <w:rPr>
            <w:rStyle w:val="Collegamentoipertestuale"/>
            <w:color w:val="auto"/>
            <w:u w:val="none"/>
            <w:lang w:val="en-US"/>
          </w:rPr>
          <w:t>https://aeeolica.org/sobre-la-eolica/la-eolica-en-el-mundo/</w:t>
        </w:r>
      </w:hyperlink>
    </w:p>
    <w:sectPr w:rsidR="009129A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A994" w14:textId="77777777" w:rsidR="002F012B" w:rsidRDefault="002F012B" w:rsidP="004F5E36">
      <w:r>
        <w:separator/>
      </w:r>
    </w:p>
  </w:endnote>
  <w:endnote w:type="continuationSeparator" w:id="0">
    <w:p w14:paraId="534AAA53" w14:textId="77777777" w:rsidR="002F012B" w:rsidRDefault="002F012B" w:rsidP="004F5E36">
      <w:r>
        <w:continuationSeparator/>
      </w:r>
    </w:p>
  </w:endnote>
  <w:endnote w:type="continuationNotice" w:id="1">
    <w:p w14:paraId="135932E9" w14:textId="77777777" w:rsidR="002F012B" w:rsidRDefault="002F01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CF27" w14:textId="77777777" w:rsidR="002F012B" w:rsidRDefault="002F012B" w:rsidP="004F5E36">
      <w:r>
        <w:separator/>
      </w:r>
    </w:p>
  </w:footnote>
  <w:footnote w:type="continuationSeparator" w:id="0">
    <w:p w14:paraId="2F293CC9" w14:textId="77777777" w:rsidR="002F012B" w:rsidRDefault="002F012B" w:rsidP="004F5E36">
      <w:r>
        <w:continuationSeparator/>
      </w:r>
    </w:p>
  </w:footnote>
  <w:footnote w:type="continuationNotice" w:id="1">
    <w:p w14:paraId="147BADBC" w14:textId="77777777" w:rsidR="002F012B" w:rsidRDefault="002F012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6477316">
    <w:abstractNumId w:val="11"/>
  </w:num>
  <w:num w:numId="2" w16cid:durableId="239489581">
    <w:abstractNumId w:val="8"/>
  </w:num>
  <w:num w:numId="3" w16cid:durableId="583271618">
    <w:abstractNumId w:val="3"/>
  </w:num>
  <w:num w:numId="4" w16cid:durableId="510727097">
    <w:abstractNumId w:val="2"/>
  </w:num>
  <w:num w:numId="5" w16cid:durableId="630981880">
    <w:abstractNumId w:val="1"/>
  </w:num>
  <w:num w:numId="6" w16cid:durableId="278880242">
    <w:abstractNumId w:val="0"/>
  </w:num>
  <w:num w:numId="7" w16cid:durableId="1324553072">
    <w:abstractNumId w:val="9"/>
  </w:num>
  <w:num w:numId="8" w16cid:durableId="1776830943">
    <w:abstractNumId w:val="7"/>
  </w:num>
  <w:num w:numId="9" w16cid:durableId="421801629">
    <w:abstractNumId w:val="6"/>
  </w:num>
  <w:num w:numId="10" w16cid:durableId="1262375631">
    <w:abstractNumId w:val="5"/>
  </w:num>
  <w:num w:numId="11" w16cid:durableId="142620883">
    <w:abstractNumId w:val="4"/>
  </w:num>
  <w:num w:numId="12" w16cid:durableId="671493777">
    <w:abstractNumId w:val="18"/>
  </w:num>
  <w:num w:numId="13" w16cid:durableId="553468268">
    <w:abstractNumId w:val="13"/>
  </w:num>
  <w:num w:numId="14" w16cid:durableId="433017723">
    <w:abstractNumId w:val="19"/>
  </w:num>
  <w:num w:numId="15" w16cid:durableId="1039666762">
    <w:abstractNumId w:val="21"/>
  </w:num>
  <w:num w:numId="16" w16cid:durableId="589462414">
    <w:abstractNumId w:val="20"/>
  </w:num>
  <w:num w:numId="17" w16cid:durableId="1687711356">
    <w:abstractNumId w:val="12"/>
  </w:num>
  <w:num w:numId="18" w16cid:durableId="1003237481">
    <w:abstractNumId w:val="13"/>
    <w:lvlOverride w:ilvl="0">
      <w:startOverride w:val="1"/>
    </w:lvlOverride>
  </w:num>
  <w:num w:numId="19" w16cid:durableId="255097942">
    <w:abstractNumId w:val="17"/>
  </w:num>
  <w:num w:numId="20" w16cid:durableId="799686656">
    <w:abstractNumId w:val="16"/>
  </w:num>
  <w:num w:numId="21" w16cid:durableId="1516308667">
    <w:abstractNumId w:val="15"/>
  </w:num>
  <w:num w:numId="22" w16cid:durableId="15159501">
    <w:abstractNumId w:val="14"/>
  </w:num>
  <w:num w:numId="23" w16cid:durableId="348026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84C"/>
    <w:rsid w:val="000052FB"/>
    <w:rsid w:val="00005A19"/>
    <w:rsid w:val="000117CB"/>
    <w:rsid w:val="000178E5"/>
    <w:rsid w:val="00021569"/>
    <w:rsid w:val="0003148D"/>
    <w:rsid w:val="00031EEC"/>
    <w:rsid w:val="00032FF1"/>
    <w:rsid w:val="00051566"/>
    <w:rsid w:val="000562A9"/>
    <w:rsid w:val="00056AAB"/>
    <w:rsid w:val="00062A9A"/>
    <w:rsid w:val="00062E51"/>
    <w:rsid w:val="00065058"/>
    <w:rsid w:val="00071011"/>
    <w:rsid w:val="000719E8"/>
    <w:rsid w:val="00080AAA"/>
    <w:rsid w:val="00086462"/>
    <w:rsid w:val="0008654D"/>
    <w:rsid w:val="00086C39"/>
    <w:rsid w:val="00097B8C"/>
    <w:rsid w:val="000A03B2"/>
    <w:rsid w:val="000B3A00"/>
    <w:rsid w:val="000C0330"/>
    <w:rsid w:val="000D0268"/>
    <w:rsid w:val="000D1E9D"/>
    <w:rsid w:val="000D34BE"/>
    <w:rsid w:val="000D4D4C"/>
    <w:rsid w:val="000D6C53"/>
    <w:rsid w:val="000E0B3C"/>
    <w:rsid w:val="000E102F"/>
    <w:rsid w:val="000E338F"/>
    <w:rsid w:val="000E36F1"/>
    <w:rsid w:val="000E3A73"/>
    <w:rsid w:val="000E414A"/>
    <w:rsid w:val="000E48AE"/>
    <w:rsid w:val="000E75FD"/>
    <w:rsid w:val="000F093C"/>
    <w:rsid w:val="000F787B"/>
    <w:rsid w:val="00100AED"/>
    <w:rsid w:val="00103119"/>
    <w:rsid w:val="00105D75"/>
    <w:rsid w:val="00107AE8"/>
    <w:rsid w:val="00110CE6"/>
    <w:rsid w:val="00112A75"/>
    <w:rsid w:val="0012091F"/>
    <w:rsid w:val="00123039"/>
    <w:rsid w:val="0012522D"/>
    <w:rsid w:val="00126BC2"/>
    <w:rsid w:val="001308B6"/>
    <w:rsid w:val="0013121F"/>
    <w:rsid w:val="00131FE6"/>
    <w:rsid w:val="0013263F"/>
    <w:rsid w:val="0013281E"/>
    <w:rsid w:val="001331DF"/>
    <w:rsid w:val="00134DE4"/>
    <w:rsid w:val="0014034D"/>
    <w:rsid w:val="00140FE3"/>
    <w:rsid w:val="00141AB3"/>
    <w:rsid w:val="00141CCB"/>
    <w:rsid w:val="001427F3"/>
    <w:rsid w:val="00144D16"/>
    <w:rsid w:val="00150E59"/>
    <w:rsid w:val="00152DE3"/>
    <w:rsid w:val="00154258"/>
    <w:rsid w:val="00155C99"/>
    <w:rsid w:val="00164CF9"/>
    <w:rsid w:val="001667A6"/>
    <w:rsid w:val="0017217F"/>
    <w:rsid w:val="0018171E"/>
    <w:rsid w:val="00184AD6"/>
    <w:rsid w:val="001A20DF"/>
    <w:rsid w:val="001A4AF7"/>
    <w:rsid w:val="001B0349"/>
    <w:rsid w:val="001B1E93"/>
    <w:rsid w:val="001B65C1"/>
    <w:rsid w:val="001C260F"/>
    <w:rsid w:val="001C3529"/>
    <w:rsid w:val="001C378D"/>
    <w:rsid w:val="001C5C3A"/>
    <w:rsid w:val="001C684B"/>
    <w:rsid w:val="001C7AAB"/>
    <w:rsid w:val="001D0CFB"/>
    <w:rsid w:val="001D21AF"/>
    <w:rsid w:val="001D53FC"/>
    <w:rsid w:val="001F03E7"/>
    <w:rsid w:val="001F20EA"/>
    <w:rsid w:val="001F42A5"/>
    <w:rsid w:val="001F7B9D"/>
    <w:rsid w:val="00201C93"/>
    <w:rsid w:val="00206B77"/>
    <w:rsid w:val="002114E9"/>
    <w:rsid w:val="002224B4"/>
    <w:rsid w:val="00222719"/>
    <w:rsid w:val="00233862"/>
    <w:rsid w:val="002447EF"/>
    <w:rsid w:val="00251550"/>
    <w:rsid w:val="00261F71"/>
    <w:rsid w:val="00263B05"/>
    <w:rsid w:val="002647F4"/>
    <w:rsid w:val="00265AB9"/>
    <w:rsid w:val="00271376"/>
    <w:rsid w:val="0027221A"/>
    <w:rsid w:val="00275B61"/>
    <w:rsid w:val="00280FAF"/>
    <w:rsid w:val="00282656"/>
    <w:rsid w:val="0028441C"/>
    <w:rsid w:val="0028519C"/>
    <w:rsid w:val="00296B83"/>
    <w:rsid w:val="002A503F"/>
    <w:rsid w:val="002B4015"/>
    <w:rsid w:val="002B78CE"/>
    <w:rsid w:val="002C1AEF"/>
    <w:rsid w:val="002C2FB6"/>
    <w:rsid w:val="002D6240"/>
    <w:rsid w:val="002E2E6C"/>
    <w:rsid w:val="002E5FA7"/>
    <w:rsid w:val="002E6683"/>
    <w:rsid w:val="002F012B"/>
    <w:rsid w:val="002F21DB"/>
    <w:rsid w:val="002F3309"/>
    <w:rsid w:val="002F7813"/>
    <w:rsid w:val="003008CE"/>
    <w:rsid w:val="0030095F"/>
    <w:rsid w:val="003009B7"/>
    <w:rsid w:val="00300B94"/>
    <w:rsid w:val="00300E56"/>
    <w:rsid w:val="0030152C"/>
    <w:rsid w:val="0030469C"/>
    <w:rsid w:val="00306906"/>
    <w:rsid w:val="00316C2D"/>
    <w:rsid w:val="0032156A"/>
    <w:rsid w:val="00321CA6"/>
    <w:rsid w:val="003231E8"/>
    <w:rsid w:val="00323763"/>
    <w:rsid w:val="00323C5F"/>
    <w:rsid w:val="00325CE1"/>
    <w:rsid w:val="00331841"/>
    <w:rsid w:val="00333BAD"/>
    <w:rsid w:val="00334C09"/>
    <w:rsid w:val="00334C3D"/>
    <w:rsid w:val="003457F6"/>
    <w:rsid w:val="00346A48"/>
    <w:rsid w:val="00352787"/>
    <w:rsid w:val="00353E9E"/>
    <w:rsid w:val="00354378"/>
    <w:rsid w:val="0036120E"/>
    <w:rsid w:val="003622D9"/>
    <w:rsid w:val="00366DE7"/>
    <w:rsid w:val="003723D4"/>
    <w:rsid w:val="00381905"/>
    <w:rsid w:val="0038267F"/>
    <w:rsid w:val="00384CC8"/>
    <w:rsid w:val="003871FD"/>
    <w:rsid w:val="003A0DAD"/>
    <w:rsid w:val="003A1E30"/>
    <w:rsid w:val="003A2829"/>
    <w:rsid w:val="003A46B0"/>
    <w:rsid w:val="003A7D1C"/>
    <w:rsid w:val="003B304B"/>
    <w:rsid w:val="003B3146"/>
    <w:rsid w:val="003B49CD"/>
    <w:rsid w:val="003D1E02"/>
    <w:rsid w:val="003D654B"/>
    <w:rsid w:val="003E2703"/>
    <w:rsid w:val="003E6213"/>
    <w:rsid w:val="003F015E"/>
    <w:rsid w:val="00400414"/>
    <w:rsid w:val="0040704D"/>
    <w:rsid w:val="00410DC7"/>
    <w:rsid w:val="0041446B"/>
    <w:rsid w:val="00415131"/>
    <w:rsid w:val="00421CFA"/>
    <w:rsid w:val="00424D6B"/>
    <w:rsid w:val="004250B6"/>
    <w:rsid w:val="004365B8"/>
    <w:rsid w:val="0044071E"/>
    <w:rsid w:val="0044329C"/>
    <w:rsid w:val="00453E24"/>
    <w:rsid w:val="00457456"/>
    <w:rsid w:val="004577FE"/>
    <w:rsid w:val="00457B9C"/>
    <w:rsid w:val="0046164A"/>
    <w:rsid w:val="004628D2"/>
    <w:rsid w:val="00462DCD"/>
    <w:rsid w:val="004648AD"/>
    <w:rsid w:val="004703A9"/>
    <w:rsid w:val="00472EDE"/>
    <w:rsid w:val="004760DE"/>
    <w:rsid w:val="004763D7"/>
    <w:rsid w:val="004875C0"/>
    <w:rsid w:val="00491113"/>
    <w:rsid w:val="004972EA"/>
    <w:rsid w:val="004A004E"/>
    <w:rsid w:val="004A0E16"/>
    <w:rsid w:val="004A24CF"/>
    <w:rsid w:val="004A411C"/>
    <w:rsid w:val="004B36A7"/>
    <w:rsid w:val="004B5448"/>
    <w:rsid w:val="004C13A3"/>
    <w:rsid w:val="004C1768"/>
    <w:rsid w:val="004C3D1D"/>
    <w:rsid w:val="004C3D84"/>
    <w:rsid w:val="004C5DCE"/>
    <w:rsid w:val="004C6232"/>
    <w:rsid w:val="004C7913"/>
    <w:rsid w:val="004D04D1"/>
    <w:rsid w:val="004D1B50"/>
    <w:rsid w:val="004E3948"/>
    <w:rsid w:val="004E4DD6"/>
    <w:rsid w:val="004F08A1"/>
    <w:rsid w:val="004F42B4"/>
    <w:rsid w:val="004F45D3"/>
    <w:rsid w:val="004F5E36"/>
    <w:rsid w:val="00503113"/>
    <w:rsid w:val="00507B47"/>
    <w:rsid w:val="00507BEF"/>
    <w:rsid w:val="00507CC9"/>
    <w:rsid w:val="00507DAD"/>
    <w:rsid w:val="005119A5"/>
    <w:rsid w:val="0051286C"/>
    <w:rsid w:val="00520632"/>
    <w:rsid w:val="005230E5"/>
    <w:rsid w:val="00524D04"/>
    <w:rsid w:val="005278B7"/>
    <w:rsid w:val="00532016"/>
    <w:rsid w:val="005346C8"/>
    <w:rsid w:val="005424FC"/>
    <w:rsid w:val="00543E7D"/>
    <w:rsid w:val="00547A68"/>
    <w:rsid w:val="00547BFA"/>
    <w:rsid w:val="005531C9"/>
    <w:rsid w:val="00554879"/>
    <w:rsid w:val="005627DC"/>
    <w:rsid w:val="005708E7"/>
    <w:rsid w:val="00570C43"/>
    <w:rsid w:val="00572ACA"/>
    <w:rsid w:val="00573B92"/>
    <w:rsid w:val="00585231"/>
    <w:rsid w:val="00592274"/>
    <w:rsid w:val="00594AFB"/>
    <w:rsid w:val="005A0BCC"/>
    <w:rsid w:val="005A4519"/>
    <w:rsid w:val="005A5E67"/>
    <w:rsid w:val="005B2110"/>
    <w:rsid w:val="005B350B"/>
    <w:rsid w:val="005B61E6"/>
    <w:rsid w:val="005C3E85"/>
    <w:rsid w:val="005C5B84"/>
    <w:rsid w:val="005C77E1"/>
    <w:rsid w:val="005D026B"/>
    <w:rsid w:val="005D3783"/>
    <w:rsid w:val="005D668A"/>
    <w:rsid w:val="005D6A2F"/>
    <w:rsid w:val="005E026D"/>
    <w:rsid w:val="005E031D"/>
    <w:rsid w:val="005E0592"/>
    <w:rsid w:val="005E0EF8"/>
    <w:rsid w:val="005E1A82"/>
    <w:rsid w:val="005E5C4C"/>
    <w:rsid w:val="005E6156"/>
    <w:rsid w:val="005E794C"/>
    <w:rsid w:val="005F00EB"/>
    <w:rsid w:val="005F0A28"/>
    <w:rsid w:val="005F0E5E"/>
    <w:rsid w:val="005F2D69"/>
    <w:rsid w:val="005F537F"/>
    <w:rsid w:val="00600535"/>
    <w:rsid w:val="0060473D"/>
    <w:rsid w:val="00604C57"/>
    <w:rsid w:val="00610CD6"/>
    <w:rsid w:val="00620DEE"/>
    <w:rsid w:val="00621E0A"/>
    <w:rsid w:val="00621F92"/>
    <w:rsid w:val="0062280A"/>
    <w:rsid w:val="006231E1"/>
    <w:rsid w:val="00625639"/>
    <w:rsid w:val="00631B33"/>
    <w:rsid w:val="00636960"/>
    <w:rsid w:val="00641328"/>
    <w:rsid w:val="0064184D"/>
    <w:rsid w:val="006422CC"/>
    <w:rsid w:val="00642E27"/>
    <w:rsid w:val="00643B8A"/>
    <w:rsid w:val="0065066E"/>
    <w:rsid w:val="00651D18"/>
    <w:rsid w:val="00656BD1"/>
    <w:rsid w:val="00660E3E"/>
    <w:rsid w:val="00662E74"/>
    <w:rsid w:val="006671F5"/>
    <w:rsid w:val="00667734"/>
    <w:rsid w:val="00667C47"/>
    <w:rsid w:val="00672D5E"/>
    <w:rsid w:val="006777E3"/>
    <w:rsid w:val="00680C23"/>
    <w:rsid w:val="00683E23"/>
    <w:rsid w:val="00693766"/>
    <w:rsid w:val="006A3281"/>
    <w:rsid w:val="006A6DE5"/>
    <w:rsid w:val="006B4888"/>
    <w:rsid w:val="006C2E45"/>
    <w:rsid w:val="006C30AC"/>
    <w:rsid w:val="006C359C"/>
    <w:rsid w:val="006C5579"/>
    <w:rsid w:val="006D2CA9"/>
    <w:rsid w:val="006D5CB3"/>
    <w:rsid w:val="006D6E8B"/>
    <w:rsid w:val="006D7209"/>
    <w:rsid w:val="006E737D"/>
    <w:rsid w:val="006F0C9B"/>
    <w:rsid w:val="0070013F"/>
    <w:rsid w:val="00707DD1"/>
    <w:rsid w:val="00713973"/>
    <w:rsid w:val="00715FA0"/>
    <w:rsid w:val="00720A24"/>
    <w:rsid w:val="00730FD4"/>
    <w:rsid w:val="00732386"/>
    <w:rsid w:val="0073514D"/>
    <w:rsid w:val="007355CB"/>
    <w:rsid w:val="00736666"/>
    <w:rsid w:val="007404BB"/>
    <w:rsid w:val="00742CF1"/>
    <w:rsid w:val="007447F3"/>
    <w:rsid w:val="00747B59"/>
    <w:rsid w:val="00750D09"/>
    <w:rsid w:val="0075499F"/>
    <w:rsid w:val="007564E3"/>
    <w:rsid w:val="00760B45"/>
    <w:rsid w:val="007660F5"/>
    <w:rsid w:val="007661C8"/>
    <w:rsid w:val="0077098D"/>
    <w:rsid w:val="00784693"/>
    <w:rsid w:val="00785BF9"/>
    <w:rsid w:val="007931FA"/>
    <w:rsid w:val="00793209"/>
    <w:rsid w:val="007943B0"/>
    <w:rsid w:val="007A4861"/>
    <w:rsid w:val="007A7BBA"/>
    <w:rsid w:val="007B0C50"/>
    <w:rsid w:val="007B48F9"/>
    <w:rsid w:val="007B6202"/>
    <w:rsid w:val="007C1A43"/>
    <w:rsid w:val="007D0951"/>
    <w:rsid w:val="007D610D"/>
    <w:rsid w:val="007D7E9D"/>
    <w:rsid w:val="007F1065"/>
    <w:rsid w:val="007F3A69"/>
    <w:rsid w:val="0080013E"/>
    <w:rsid w:val="00801759"/>
    <w:rsid w:val="00803702"/>
    <w:rsid w:val="00807A6A"/>
    <w:rsid w:val="00810AB7"/>
    <w:rsid w:val="00810D71"/>
    <w:rsid w:val="00813288"/>
    <w:rsid w:val="008144AD"/>
    <w:rsid w:val="008168FC"/>
    <w:rsid w:val="008176DE"/>
    <w:rsid w:val="00830996"/>
    <w:rsid w:val="008316F4"/>
    <w:rsid w:val="008345F1"/>
    <w:rsid w:val="008373A3"/>
    <w:rsid w:val="00843765"/>
    <w:rsid w:val="008457CB"/>
    <w:rsid w:val="00847609"/>
    <w:rsid w:val="00865B07"/>
    <w:rsid w:val="008667EA"/>
    <w:rsid w:val="00866B13"/>
    <w:rsid w:val="00871C5D"/>
    <w:rsid w:val="00876055"/>
    <w:rsid w:val="0087637F"/>
    <w:rsid w:val="00877808"/>
    <w:rsid w:val="00877982"/>
    <w:rsid w:val="00887F5E"/>
    <w:rsid w:val="00892AD5"/>
    <w:rsid w:val="008A1512"/>
    <w:rsid w:val="008C5020"/>
    <w:rsid w:val="008D1CF8"/>
    <w:rsid w:val="008D32B9"/>
    <w:rsid w:val="008D433B"/>
    <w:rsid w:val="008D4A16"/>
    <w:rsid w:val="008E5401"/>
    <w:rsid w:val="008E566E"/>
    <w:rsid w:val="008E5680"/>
    <w:rsid w:val="008E6060"/>
    <w:rsid w:val="008F00A0"/>
    <w:rsid w:val="008F3C1D"/>
    <w:rsid w:val="0090161A"/>
    <w:rsid w:val="00901EB6"/>
    <w:rsid w:val="009041F8"/>
    <w:rsid w:val="00904C62"/>
    <w:rsid w:val="00905376"/>
    <w:rsid w:val="009129AA"/>
    <w:rsid w:val="009141C0"/>
    <w:rsid w:val="00922BA8"/>
    <w:rsid w:val="00924DAC"/>
    <w:rsid w:val="00927058"/>
    <w:rsid w:val="00930493"/>
    <w:rsid w:val="00941BF4"/>
    <w:rsid w:val="00942750"/>
    <w:rsid w:val="009450CE"/>
    <w:rsid w:val="009459BB"/>
    <w:rsid w:val="00947179"/>
    <w:rsid w:val="0095164B"/>
    <w:rsid w:val="00954090"/>
    <w:rsid w:val="0095649F"/>
    <w:rsid w:val="009573E7"/>
    <w:rsid w:val="00963E05"/>
    <w:rsid w:val="00964A45"/>
    <w:rsid w:val="00965459"/>
    <w:rsid w:val="00967843"/>
    <w:rsid w:val="00967D54"/>
    <w:rsid w:val="00971028"/>
    <w:rsid w:val="00975924"/>
    <w:rsid w:val="00980E6D"/>
    <w:rsid w:val="00981E6F"/>
    <w:rsid w:val="00983798"/>
    <w:rsid w:val="00993B84"/>
    <w:rsid w:val="00994C6A"/>
    <w:rsid w:val="00995A84"/>
    <w:rsid w:val="00996483"/>
    <w:rsid w:val="00996C3A"/>
    <w:rsid w:val="00996F5A"/>
    <w:rsid w:val="009A5963"/>
    <w:rsid w:val="009B041A"/>
    <w:rsid w:val="009C1042"/>
    <w:rsid w:val="009C1B09"/>
    <w:rsid w:val="009C37C3"/>
    <w:rsid w:val="009C65A7"/>
    <w:rsid w:val="009C7C86"/>
    <w:rsid w:val="009D2344"/>
    <w:rsid w:val="009D2FF7"/>
    <w:rsid w:val="009E1D85"/>
    <w:rsid w:val="009E4BBB"/>
    <w:rsid w:val="009E7884"/>
    <w:rsid w:val="009E788A"/>
    <w:rsid w:val="009F0E08"/>
    <w:rsid w:val="009F3E14"/>
    <w:rsid w:val="009F44A3"/>
    <w:rsid w:val="00A006AF"/>
    <w:rsid w:val="00A02763"/>
    <w:rsid w:val="00A03CB2"/>
    <w:rsid w:val="00A0725D"/>
    <w:rsid w:val="00A079AE"/>
    <w:rsid w:val="00A1763D"/>
    <w:rsid w:val="00A17902"/>
    <w:rsid w:val="00A17CEC"/>
    <w:rsid w:val="00A27EF0"/>
    <w:rsid w:val="00A42361"/>
    <w:rsid w:val="00A50B20"/>
    <w:rsid w:val="00A51390"/>
    <w:rsid w:val="00A56DEB"/>
    <w:rsid w:val="00A60D13"/>
    <w:rsid w:val="00A7223D"/>
    <w:rsid w:val="00A72745"/>
    <w:rsid w:val="00A742E2"/>
    <w:rsid w:val="00A76EFC"/>
    <w:rsid w:val="00A87062"/>
    <w:rsid w:val="00A87D50"/>
    <w:rsid w:val="00A91010"/>
    <w:rsid w:val="00A97F29"/>
    <w:rsid w:val="00AA2BD3"/>
    <w:rsid w:val="00AA5D44"/>
    <w:rsid w:val="00AA6D53"/>
    <w:rsid w:val="00AA702E"/>
    <w:rsid w:val="00AA74DB"/>
    <w:rsid w:val="00AA7B33"/>
    <w:rsid w:val="00AA7D26"/>
    <w:rsid w:val="00AB0964"/>
    <w:rsid w:val="00AB3F7E"/>
    <w:rsid w:val="00AB5011"/>
    <w:rsid w:val="00AC7368"/>
    <w:rsid w:val="00AD16B9"/>
    <w:rsid w:val="00AD6092"/>
    <w:rsid w:val="00AE377D"/>
    <w:rsid w:val="00AE4D56"/>
    <w:rsid w:val="00AF0EBA"/>
    <w:rsid w:val="00AF2463"/>
    <w:rsid w:val="00AF6BDF"/>
    <w:rsid w:val="00B02C8A"/>
    <w:rsid w:val="00B07CC8"/>
    <w:rsid w:val="00B17FBD"/>
    <w:rsid w:val="00B2226D"/>
    <w:rsid w:val="00B236FB"/>
    <w:rsid w:val="00B23DFD"/>
    <w:rsid w:val="00B315A6"/>
    <w:rsid w:val="00B31813"/>
    <w:rsid w:val="00B33365"/>
    <w:rsid w:val="00B57B36"/>
    <w:rsid w:val="00B57E6F"/>
    <w:rsid w:val="00B6483D"/>
    <w:rsid w:val="00B67661"/>
    <w:rsid w:val="00B71639"/>
    <w:rsid w:val="00B7544B"/>
    <w:rsid w:val="00B8686D"/>
    <w:rsid w:val="00B93F69"/>
    <w:rsid w:val="00BA32E9"/>
    <w:rsid w:val="00BB109D"/>
    <w:rsid w:val="00BB1DDC"/>
    <w:rsid w:val="00BB27E7"/>
    <w:rsid w:val="00BB3E6F"/>
    <w:rsid w:val="00BC044B"/>
    <w:rsid w:val="00BC30C9"/>
    <w:rsid w:val="00BC466C"/>
    <w:rsid w:val="00BC59DE"/>
    <w:rsid w:val="00BD00C2"/>
    <w:rsid w:val="00BD077D"/>
    <w:rsid w:val="00BE3D84"/>
    <w:rsid w:val="00BE3E58"/>
    <w:rsid w:val="00BE433E"/>
    <w:rsid w:val="00BF13CE"/>
    <w:rsid w:val="00C01616"/>
    <w:rsid w:val="00C0162B"/>
    <w:rsid w:val="00C032D5"/>
    <w:rsid w:val="00C068ED"/>
    <w:rsid w:val="00C10052"/>
    <w:rsid w:val="00C10B15"/>
    <w:rsid w:val="00C15A8B"/>
    <w:rsid w:val="00C20857"/>
    <w:rsid w:val="00C22E0C"/>
    <w:rsid w:val="00C345B1"/>
    <w:rsid w:val="00C40142"/>
    <w:rsid w:val="00C45916"/>
    <w:rsid w:val="00C52C3C"/>
    <w:rsid w:val="00C53280"/>
    <w:rsid w:val="00C5434F"/>
    <w:rsid w:val="00C57182"/>
    <w:rsid w:val="00C57863"/>
    <w:rsid w:val="00C61664"/>
    <w:rsid w:val="00C640AF"/>
    <w:rsid w:val="00C64B63"/>
    <w:rsid w:val="00C655FD"/>
    <w:rsid w:val="00C708EC"/>
    <w:rsid w:val="00C75407"/>
    <w:rsid w:val="00C80E1B"/>
    <w:rsid w:val="00C841C6"/>
    <w:rsid w:val="00C870A8"/>
    <w:rsid w:val="00C90731"/>
    <w:rsid w:val="00C93F8E"/>
    <w:rsid w:val="00C94434"/>
    <w:rsid w:val="00C978F5"/>
    <w:rsid w:val="00CA0D75"/>
    <w:rsid w:val="00CA183C"/>
    <w:rsid w:val="00CA1C95"/>
    <w:rsid w:val="00CA57AA"/>
    <w:rsid w:val="00CA5A9C"/>
    <w:rsid w:val="00CC2B20"/>
    <w:rsid w:val="00CC48EE"/>
    <w:rsid w:val="00CC4C20"/>
    <w:rsid w:val="00CD3517"/>
    <w:rsid w:val="00CD5FE2"/>
    <w:rsid w:val="00CE3A5F"/>
    <w:rsid w:val="00CE7C68"/>
    <w:rsid w:val="00CF54EC"/>
    <w:rsid w:val="00D01A68"/>
    <w:rsid w:val="00D020EB"/>
    <w:rsid w:val="00D02B4C"/>
    <w:rsid w:val="00D040C4"/>
    <w:rsid w:val="00D107A7"/>
    <w:rsid w:val="00D1748B"/>
    <w:rsid w:val="00D20AD1"/>
    <w:rsid w:val="00D2582C"/>
    <w:rsid w:val="00D34D94"/>
    <w:rsid w:val="00D456C5"/>
    <w:rsid w:val="00D4638F"/>
    <w:rsid w:val="00D46B7E"/>
    <w:rsid w:val="00D55C35"/>
    <w:rsid w:val="00D57474"/>
    <w:rsid w:val="00D57C84"/>
    <w:rsid w:val="00D6057D"/>
    <w:rsid w:val="00D62AE4"/>
    <w:rsid w:val="00D64032"/>
    <w:rsid w:val="00D71640"/>
    <w:rsid w:val="00D71DD0"/>
    <w:rsid w:val="00D74E36"/>
    <w:rsid w:val="00D836C5"/>
    <w:rsid w:val="00D84576"/>
    <w:rsid w:val="00D85C69"/>
    <w:rsid w:val="00DA1399"/>
    <w:rsid w:val="00DA24C6"/>
    <w:rsid w:val="00DA4D7B"/>
    <w:rsid w:val="00DB695C"/>
    <w:rsid w:val="00DB69D4"/>
    <w:rsid w:val="00DB768E"/>
    <w:rsid w:val="00DC2840"/>
    <w:rsid w:val="00DC73EE"/>
    <w:rsid w:val="00DD271C"/>
    <w:rsid w:val="00DE264A"/>
    <w:rsid w:val="00DF5072"/>
    <w:rsid w:val="00DF50A5"/>
    <w:rsid w:val="00E00945"/>
    <w:rsid w:val="00E01025"/>
    <w:rsid w:val="00E02D18"/>
    <w:rsid w:val="00E041E7"/>
    <w:rsid w:val="00E07AEA"/>
    <w:rsid w:val="00E22C99"/>
    <w:rsid w:val="00E23CA1"/>
    <w:rsid w:val="00E409A8"/>
    <w:rsid w:val="00E4314F"/>
    <w:rsid w:val="00E50C12"/>
    <w:rsid w:val="00E60BDB"/>
    <w:rsid w:val="00E645BF"/>
    <w:rsid w:val="00E65B91"/>
    <w:rsid w:val="00E7209D"/>
    <w:rsid w:val="00E72EAD"/>
    <w:rsid w:val="00E77223"/>
    <w:rsid w:val="00E82F72"/>
    <w:rsid w:val="00E8528B"/>
    <w:rsid w:val="00E85B94"/>
    <w:rsid w:val="00E933CC"/>
    <w:rsid w:val="00E94BC5"/>
    <w:rsid w:val="00E978D0"/>
    <w:rsid w:val="00EA08E2"/>
    <w:rsid w:val="00EA2AC5"/>
    <w:rsid w:val="00EA4613"/>
    <w:rsid w:val="00EA7F91"/>
    <w:rsid w:val="00EB1523"/>
    <w:rsid w:val="00EC0E49"/>
    <w:rsid w:val="00EC101F"/>
    <w:rsid w:val="00EC1D9F"/>
    <w:rsid w:val="00EC3FC6"/>
    <w:rsid w:val="00EC7020"/>
    <w:rsid w:val="00ED4A4B"/>
    <w:rsid w:val="00ED4F8E"/>
    <w:rsid w:val="00ED5D7D"/>
    <w:rsid w:val="00EE0131"/>
    <w:rsid w:val="00EE0614"/>
    <w:rsid w:val="00EE10FB"/>
    <w:rsid w:val="00EE17B0"/>
    <w:rsid w:val="00EF06D9"/>
    <w:rsid w:val="00F039BE"/>
    <w:rsid w:val="00F27EE4"/>
    <w:rsid w:val="00F3049E"/>
    <w:rsid w:val="00F30C64"/>
    <w:rsid w:val="00F32BA2"/>
    <w:rsid w:val="00F32CDB"/>
    <w:rsid w:val="00F41EE4"/>
    <w:rsid w:val="00F5480E"/>
    <w:rsid w:val="00F560DD"/>
    <w:rsid w:val="00F565FE"/>
    <w:rsid w:val="00F62A6D"/>
    <w:rsid w:val="00F63A70"/>
    <w:rsid w:val="00F63D8C"/>
    <w:rsid w:val="00F7534E"/>
    <w:rsid w:val="00F82C7A"/>
    <w:rsid w:val="00F926AA"/>
    <w:rsid w:val="00F93EDF"/>
    <w:rsid w:val="00FA1802"/>
    <w:rsid w:val="00FA21D0"/>
    <w:rsid w:val="00FA48BD"/>
    <w:rsid w:val="00FA5F5F"/>
    <w:rsid w:val="00FB51ED"/>
    <w:rsid w:val="00FB730C"/>
    <w:rsid w:val="00FC10C9"/>
    <w:rsid w:val="00FC1CBA"/>
    <w:rsid w:val="00FC2695"/>
    <w:rsid w:val="00FC3E03"/>
    <w:rsid w:val="00FC3FC1"/>
    <w:rsid w:val="00FD0176"/>
    <w:rsid w:val="00FD2706"/>
    <w:rsid w:val="00FD5971"/>
    <w:rsid w:val="00FD64B7"/>
    <w:rsid w:val="00FE44A9"/>
    <w:rsid w:val="00FF5DAB"/>
    <w:rsid w:val="08D8FF1D"/>
    <w:rsid w:val="17CE634D"/>
    <w:rsid w:val="36D73285"/>
    <w:rsid w:val="389DC64E"/>
    <w:rsid w:val="3DA95DA8"/>
    <w:rsid w:val="40C95DA2"/>
    <w:rsid w:val="4D932E84"/>
    <w:rsid w:val="5F838CF8"/>
    <w:rsid w:val="70E4E98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normaltextrun">
    <w:name w:val="normaltextrun"/>
    <w:basedOn w:val="Carpredefinitoparagrafo"/>
    <w:rsid w:val="00154258"/>
  </w:style>
  <w:style w:type="character" w:customStyle="1" w:styleId="eop">
    <w:name w:val="eop"/>
    <w:basedOn w:val="Carpredefinitoparagrafo"/>
    <w:rsid w:val="00154258"/>
  </w:style>
  <w:style w:type="paragraph" w:customStyle="1" w:styleId="paragraph">
    <w:name w:val="paragraph"/>
    <w:basedOn w:val="Normale"/>
    <w:rsid w:val="006777E3"/>
    <w:pPr>
      <w:tabs>
        <w:tab w:val="clear" w:pos="7100"/>
      </w:tabs>
      <w:spacing w:before="100" w:beforeAutospacing="1" w:after="100" w:afterAutospacing="1" w:line="240" w:lineRule="auto"/>
      <w:jc w:val="left"/>
    </w:pPr>
    <w:rPr>
      <w:rFonts w:ascii="Times New Roman" w:hAnsi="Times New Roman"/>
      <w:sz w:val="24"/>
      <w:szCs w:val="24"/>
    </w:rPr>
  </w:style>
  <w:style w:type="character" w:styleId="Menzionenonrisolta">
    <w:name w:val="Unresolved Mention"/>
    <w:basedOn w:val="Carpredefinitoparagrafo"/>
    <w:uiPriority w:val="99"/>
    <w:semiHidden/>
    <w:unhideWhenUsed/>
    <w:rsid w:val="0052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538248295">
      <w:bodyDiv w:val="1"/>
      <w:marLeft w:val="0"/>
      <w:marRight w:val="0"/>
      <w:marTop w:val="0"/>
      <w:marBottom w:val="0"/>
      <w:divBdr>
        <w:top w:val="none" w:sz="0" w:space="0" w:color="auto"/>
        <w:left w:val="none" w:sz="0" w:space="0" w:color="auto"/>
        <w:bottom w:val="none" w:sz="0" w:space="0" w:color="auto"/>
        <w:right w:val="none" w:sz="0" w:space="0" w:color="auto"/>
      </w:divBdr>
      <w:divsChild>
        <w:div w:id="2034918398">
          <w:marLeft w:val="-720"/>
          <w:marRight w:val="0"/>
          <w:marTop w:val="0"/>
          <w:marBottom w:val="0"/>
          <w:divBdr>
            <w:top w:val="none" w:sz="0" w:space="0" w:color="auto"/>
            <w:left w:val="none" w:sz="0" w:space="0" w:color="auto"/>
            <w:bottom w:val="none" w:sz="0" w:space="0" w:color="auto"/>
            <w:right w:val="none" w:sz="0" w:space="0" w:color="auto"/>
          </w:divBdr>
        </w:div>
      </w:divsChild>
    </w:div>
    <w:div w:id="683047809">
      <w:bodyDiv w:val="1"/>
      <w:marLeft w:val="0"/>
      <w:marRight w:val="0"/>
      <w:marTop w:val="0"/>
      <w:marBottom w:val="0"/>
      <w:divBdr>
        <w:top w:val="none" w:sz="0" w:space="0" w:color="auto"/>
        <w:left w:val="none" w:sz="0" w:space="0" w:color="auto"/>
        <w:bottom w:val="none" w:sz="0" w:space="0" w:color="auto"/>
        <w:right w:val="none" w:sz="0" w:space="0" w:color="auto"/>
      </w:divBdr>
      <w:divsChild>
        <w:div w:id="86125456">
          <w:marLeft w:val="0"/>
          <w:marRight w:val="0"/>
          <w:marTop w:val="0"/>
          <w:marBottom w:val="0"/>
          <w:divBdr>
            <w:top w:val="none" w:sz="0" w:space="0" w:color="auto"/>
            <w:left w:val="none" w:sz="0" w:space="0" w:color="auto"/>
            <w:bottom w:val="none" w:sz="0" w:space="0" w:color="auto"/>
            <w:right w:val="none" w:sz="0" w:space="0" w:color="auto"/>
          </w:divBdr>
        </w:div>
        <w:div w:id="1437168429">
          <w:marLeft w:val="0"/>
          <w:marRight w:val="0"/>
          <w:marTop w:val="0"/>
          <w:marBottom w:val="0"/>
          <w:divBdr>
            <w:top w:val="none" w:sz="0" w:space="0" w:color="auto"/>
            <w:left w:val="none" w:sz="0" w:space="0" w:color="auto"/>
            <w:bottom w:val="none" w:sz="0" w:space="0" w:color="auto"/>
            <w:right w:val="none" w:sz="0" w:space="0" w:color="auto"/>
          </w:divBdr>
        </w:div>
        <w:div w:id="685792458">
          <w:marLeft w:val="0"/>
          <w:marRight w:val="0"/>
          <w:marTop w:val="0"/>
          <w:marBottom w:val="0"/>
          <w:divBdr>
            <w:top w:val="none" w:sz="0" w:space="0" w:color="auto"/>
            <w:left w:val="none" w:sz="0" w:space="0" w:color="auto"/>
            <w:bottom w:val="none" w:sz="0" w:space="0" w:color="auto"/>
            <w:right w:val="none" w:sz="0" w:space="0" w:color="auto"/>
          </w:divBdr>
        </w:div>
        <w:div w:id="1612200665">
          <w:marLeft w:val="0"/>
          <w:marRight w:val="0"/>
          <w:marTop w:val="0"/>
          <w:marBottom w:val="0"/>
          <w:divBdr>
            <w:top w:val="none" w:sz="0" w:space="0" w:color="auto"/>
            <w:left w:val="none" w:sz="0" w:space="0" w:color="auto"/>
            <w:bottom w:val="none" w:sz="0" w:space="0" w:color="auto"/>
            <w:right w:val="none" w:sz="0" w:space="0" w:color="auto"/>
          </w:divBdr>
        </w:div>
        <w:div w:id="544290110">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4239818">
      <w:bodyDiv w:val="1"/>
      <w:marLeft w:val="0"/>
      <w:marRight w:val="0"/>
      <w:marTop w:val="0"/>
      <w:marBottom w:val="0"/>
      <w:divBdr>
        <w:top w:val="none" w:sz="0" w:space="0" w:color="auto"/>
        <w:left w:val="none" w:sz="0" w:space="0" w:color="auto"/>
        <w:bottom w:val="none" w:sz="0" w:space="0" w:color="auto"/>
        <w:right w:val="none" w:sz="0" w:space="0" w:color="auto"/>
      </w:divBdr>
      <w:divsChild>
        <w:div w:id="199906186">
          <w:marLeft w:val="0"/>
          <w:marRight w:val="0"/>
          <w:marTop w:val="0"/>
          <w:marBottom w:val="0"/>
          <w:divBdr>
            <w:top w:val="none" w:sz="0" w:space="0" w:color="auto"/>
            <w:left w:val="none" w:sz="0" w:space="0" w:color="auto"/>
            <w:bottom w:val="none" w:sz="0" w:space="0" w:color="auto"/>
            <w:right w:val="none" w:sz="0" w:space="0" w:color="auto"/>
          </w:divBdr>
        </w:div>
        <w:div w:id="104274557">
          <w:marLeft w:val="0"/>
          <w:marRight w:val="0"/>
          <w:marTop w:val="0"/>
          <w:marBottom w:val="0"/>
          <w:divBdr>
            <w:top w:val="none" w:sz="0" w:space="0" w:color="auto"/>
            <w:left w:val="none" w:sz="0" w:space="0" w:color="auto"/>
            <w:bottom w:val="none" w:sz="0" w:space="0" w:color="auto"/>
            <w:right w:val="none" w:sz="0" w:space="0" w:color="auto"/>
          </w:divBdr>
        </w:div>
        <w:div w:id="973606440">
          <w:marLeft w:val="0"/>
          <w:marRight w:val="0"/>
          <w:marTop w:val="0"/>
          <w:marBottom w:val="0"/>
          <w:divBdr>
            <w:top w:val="none" w:sz="0" w:space="0" w:color="auto"/>
            <w:left w:val="none" w:sz="0" w:space="0" w:color="auto"/>
            <w:bottom w:val="none" w:sz="0" w:space="0" w:color="auto"/>
            <w:right w:val="none" w:sz="0" w:space="0" w:color="auto"/>
          </w:divBdr>
        </w:div>
        <w:div w:id="547958174">
          <w:marLeft w:val="0"/>
          <w:marRight w:val="0"/>
          <w:marTop w:val="0"/>
          <w:marBottom w:val="0"/>
          <w:divBdr>
            <w:top w:val="none" w:sz="0" w:space="0" w:color="auto"/>
            <w:left w:val="none" w:sz="0" w:space="0" w:color="auto"/>
            <w:bottom w:val="none" w:sz="0" w:space="0" w:color="auto"/>
            <w:right w:val="none" w:sz="0" w:space="0" w:color="auto"/>
          </w:divBdr>
        </w:div>
        <w:div w:id="247467832">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a.palacios@udlap.mx" TargetMode="Externa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otlandagainstspin.org/turbine-accident-statistic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eeolica.org/sobre-la-eolica/la-eolica-en-el-mundo/" TargetMode="External"/><Relationship Id="rId5" Type="http://schemas.openxmlformats.org/officeDocument/2006/relationships/numbering" Target="numbering.xml"/><Relationship Id="rId15" Type="http://schemas.openxmlformats.org/officeDocument/2006/relationships/hyperlink" Target="mailto:talmughanam@kfu.edu.sa" TargetMode="External"/><Relationship Id="rId23" Type="http://schemas.openxmlformats.org/officeDocument/2006/relationships/hyperlink" Target="https://www.un.org/en/climatechange/what-is-renewable-energy" TargetMode="Externa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ka.palacios@udlap.mx" TargetMode="External"/><Relationship Id="rId22" Type="http://schemas.openxmlformats.org/officeDocument/2006/relationships/hyperlink" Target="https://es.weforum.org/stories/2022/11/estos-5-graficos-muestran-como-ha-incrementado-la-generacion-de-energia-renovabl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inliveudlap.sharepoint.com/teams/HistoricalAnalysisSaudiaArabia/Shared%20Documents/General/0.%20Turbinas%20E&#243;licas/1.%20Base%20de%20datos%20turbinas.%20Caro_Jes&#250;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inliveudlap.sharepoint.com/teams/HistoricalAnalysisSaudiaArabia/Shared%20Documents/General/0.%20Turbinas%20E&#243;licas/1.%20Base%20de%20datos%20turbinas.%20Caro_Jes&#250;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winliveudlap.sharepoint.com/teams/HistoricalAnalysisSaudiaArabia/Shared%20Documents/General/0.%20Turbinas%20E&#243;licas/1.%20Base%20de%20datos%20turbinas.%20Caro_Jes&#250;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winliveudlap.sharepoint.com/teams/HistoricalAnalysisSaudiaArabia/Shared%20Documents/General/0.%20Turbinas%20E&#243;licas/1.%20Base%20de%20datos%20turbinas.%20Caro_Jes&#250;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winliveudlap.sharepoint.com/teams/HistoricalAnalysisSaudiaArabia/Shared%20Documents/General/0.%20Turbinas%20E&#243;licas/1.%20Base%20de%20datos%20turbinas.%20Caro_Jes&#250;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Años!$B$3:$B$27</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Años!$C$3:$C$27</c:f>
              <c:numCache>
                <c:formatCode>General</c:formatCode>
                <c:ptCount val="25"/>
                <c:pt idx="0">
                  <c:v>3</c:v>
                </c:pt>
                <c:pt idx="1">
                  <c:v>2</c:v>
                </c:pt>
                <c:pt idx="2">
                  <c:v>25</c:v>
                </c:pt>
                <c:pt idx="3">
                  <c:v>18</c:v>
                </c:pt>
                <c:pt idx="4">
                  <c:v>15</c:v>
                </c:pt>
                <c:pt idx="5">
                  <c:v>15</c:v>
                </c:pt>
                <c:pt idx="6">
                  <c:v>12</c:v>
                </c:pt>
                <c:pt idx="7">
                  <c:v>21</c:v>
                </c:pt>
                <c:pt idx="8">
                  <c:v>17</c:v>
                </c:pt>
                <c:pt idx="9">
                  <c:v>17</c:v>
                </c:pt>
                <c:pt idx="10">
                  <c:v>17</c:v>
                </c:pt>
                <c:pt idx="11">
                  <c:v>23</c:v>
                </c:pt>
                <c:pt idx="12">
                  <c:v>24</c:v>
                </c:pt>
                <c:pt idx="13">
                  <c:v>25</c:v>
                </c:pt>
                <c:pt idx="14">
                  <c:v>21</c:v>
                </c:pt>
                <c:pt idx="15">
                  <c:v>24</c:v>
                </c:pt>
                <c:pt idx="16">
                  <c:v>29</c:v>
                </c:pt>
                <c:pt idx="17">
                  <c:v>26</c:v>
                </c:pt>
                <c:pt idx="18">
                  <c:v>28</c:v>
                </c:pt>
                <c:pt idx="19">
                  <c:v>26</c:v>
                </c:pt>
                <c:pt idx="20">
                  <c:v>23</c:v>
                </c:pt>
                <c:pt idx="21">
                  <c:v>20</c:v>
                </c:pt>
                <c:pt idx="22">
                  <c:v>18</c:v>
                </c:pt>
                <c:pt idx="23">
                  <c:v>16</c:v>
                </c:pt>
                <c:pt idx="24">
                  <c:v>13</c:v>
                </c:pt>
              </c:numCache>
            </c:numRef>
          </c:val>
          <c:extLst>
            <c:ext xmlns:c16="http://schemas.microsoft.com/office/drawing/2014/chart" uri="{C3380CC4-5D6E-409C-BE32-E72D297353CC}">
              <c16:uniqueId val="{00000000-6C2C-874E-8898-0793D86395DF}"/>
            </c:ext>
          </c:extLst>
        </c:ser>
        <c:dLbls>
          <c:showLegendKey val="0"/>
          <c:showVal val="0"/>
          <c:showCatName val="0"/>
          <c:showSerName val="0"/>
          <c:showPercent val="0"/>
          <c:showBubbleSize val="0"/>
        </c:dLbls>
        <c:gapWidth val="219"/>
        <c:overlap val="-27"/>
        <c:axId val="1810245520"/>
        <c:axId val="1810120624"/>
      </c:barChart>
      <c:catAx>
        <c:axId val="181024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10120624"/>
        <c:crosses val="autoZero"/>
        <c:auto val="1"/>
        <c:lblAlgn val="ctr"/>
        <c:lblOffset val="100"/>
        <c:noMultiLvlLbl val="0"/>
      </c:catAx>
      <c:valAx>
        <c:axId val="181012062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1024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Continente!$C$2</c:f>
              <c:strCache>
                <c:ptCount val="1"/>
                <c:pt idx="0">
                  <c:v>2000-2012</c:v>
                </c:pt>
              </c:strCache>
            </c:strRef>
          </c:tx>
          <c:spPr>
            <a:solidFill>
              <a:schemeClr val="accent1"/>
            </a:solidFill>
            <a:ln>
              <a:noFill/>
            </a:ln>
            <a:effectLst/>
          </c:spPr>
          <c:invertIfNegative val="0"/>
          <c:cat>
            <c:strRef>
              <c:f>Continente!$B$3:$B$6</c:f>
              <c:strCache>
                <c:ptCount val="4"/>
                <c:pt idx="0">
                  <c:v>America</c:v>
                </c:pt>
                <c:pt idx="1">
                  <c:v>Europe</c:v>
                </c:pt>
                <c:pt idx="2">
                  <c:v>Asia</c:v>
                </c:pt>
                <c:pt idx="3">
                  <c:v>Oceania</c:v>
                </c:pt>
              </c:strCache>
            </c:strRef>
          </c:cat>
          <c:val>
            <c:numRef>
              <c:f>Continente!$C$3:$C$6</c:f>
              <c:numCache>
                <c:formatCode>General</c:formatCode>
                <c:ptCount val="4"/>
                <c:pt idx="0">
                  <c:v>50</c:v>
                </c:pt>
                <c:pt idx="1">
                  <c:v>150</c:v>
                </c:pt>
                <c:pt idx="2">
                  <c:v>6</c:v>
                </c:pt>
                <c:pt idx="3">
                  <c:v>3</c:v>
                </c:pt>
              </c:numCache>
            </c:numRef>
          </c:val>
          <c:extLst>
            <c:ext xmlns:c16="http://schemas.microsoft.com/office/drawing/2014/chart" uri="{C3380CC4-5D6E-409C-BE32-E72D297353CC}">
              <c16:uniqueId val="{00000000-AFCF-934C-851E-5A5377467848}"/>
            </c:ext>
          </c:extLst>
        </c:ser>
        <c:ser>
          <c:idx val="1"/>
          <c:order val="1"/>
          <c:tx>
            <c:strRef>
              <c:f>Continente!$D$2</c:f>
              <c:strCache>
                <c:ptCount val="1"/>
                <c:pt idx="0">
                  <c:v>2013-2024</c:v>
                </c:pt>
              </c:strCache>
            </c:strRef>
          </c:tx>
          <c:spPr>
            <a:solidFill>
              <a:schemeClr val="accent2"/>
            </a:solidFill>
            <a:ln>
              <a:noFill/>
            </a:ln>
            <a:effectLst/>
          </c:spPr>
          <c:invertIfNegative val="0"/>
          <c:cat>
            <c:strRef>
              <c:f>Continente!$B$3:$B$6</c:f>
              <c:strCache>
                <c:ptCount val="4"/>
                <c:pt idx="0">
                  <c:v>America</c:v>
                </c:pt>
                <c:pt idx="1">
                  <c:v>Europe</c:v>
                </c:pt>
                <c:pt idx="2">
                  <c:v>Asia</c:v>
                </c:pt>
                <c:pt idx="3">
                  <c:v>Oceania</c:v>
                </c:pt>
              </c:strCache>
            </c:strRef>
          </c:cat>
          <c:val>
            <c:numRef>
              <c:f>Continente!$D$3:$D$6</c:f>
              <c:numCache>
                <c:formatCode>General</c:formatCode>
                <c:ptCount val="4"/>
                <c:pt idx="0">
                  <c:v>94</c:v>
                </c:pt>
                <c:pt idx="1">
                  <c:v>156</c:v>
                </c:pt>
                <c:pt idx="2">
                  <c:v>10</c:v>
                </c:pt>
                <c:pt idx="3">
                  <c:v>9</c:v>
                </c:pt>
              </c:numCache>
            </c:numRef>
          </c:val>
          <c:extLst>
            <c:ext xmlns:c16="http://schemas.microsoft.com/office/drawing/2014/chart" uri="{C3380CC4-5D6E-409C-BE32-E72D297353CC}">
              <c16:uniqueId val="{00000001-AFCF-934C-851E-5A5377467848}"/>
            </c:ext>
          </c:extLst>
        </c:ser>
        <c:dLbls>
          <c:showLegendKey val="0"/>
          <c:showVal val="0"/>
          <c:showCatName val="0"/>
          <c:showSerName val="0"/>
          <c:showPercent val="0"/>
          <c:showBubbleSize val="0"/>
        </c:dLbls>
        <c:gapWidth val="219"/>
        <c:overlap val="100"/>
        <c:axId val="1810333328"/>
        <c:axId val="2115417840"/>
      </c:barChart>
      <c:catAx>
        <c:axId val="181033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5417840"/>
        <c:crosses val="autoZero"/>
        <c:auto val="1"/>
        <c:lblAlgn val="ctr"/>
        <c:lblOffset val="100"/>
        <c:noMultiLvlLbl val="0"/>
      </c:catAx>
      <c:valAx>
        <c:axId val="211541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1033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Ubicacion!$C$2</c:f>
              <c:strCache>
                <c:ptCount val="1"/>
                <c:pt idx="0">
                  <c:v>2000-2012</c:v>
                </c:pt>
              </c:strCache>
            </c:strRef>
          </c:tx>
          <c:spPr>
            <a:solidFill>
              <a:schemeClr val="accent1"/>
            </a:solidFill>
            <a:ln>
              <a:noFill/>
            </a:ln>
            <a:effectLst/>
          </c:spPr>
          <c:invertIfNegative val="0"/>
          <c:cat>
            <c:strRef>
              <c:f>Ubicacion!$B$3:$B$4</c:f>
              <c:strCache>
                <c:ptCount val="2"/>
                <c:pt idx="0">
                  <c:v>Onshore</c:v>
                </c:pt>
                <c:pt idx="1">
                  <c:v>Offshore</c:v>
                </c:pt>
              </c:strCache>
            </c:strRef>
          </c:cat>
          <c:val>
            <c:numRef>
              <c:f>Ubicacion!$C$3:$C$4</c:f>
              <c:numCache>
                <c:formatCode>General</c:formatCode>
                <c:ptCount val="2"/>
                <c:pt idx="0">
                  <c:v>190</c:v>
                </c:pt>
                <c:pt idx="1">
                  <c:v>6</c:v>
                </c:pt>
              </c:numCache>
            </c:numRef>
          </c:val>
          <c:extLst>
            <c:ext xmlns:c16="http://schemas.microsoft.com/office/drawing/2014/chart" uri="{C3380CC4-5D6E-409C-BE32-E72D297353CC}">
              <c16:uniqueId val="{00000000-10CE-7342-BE77-12EE23983E8D}"/>
            </c:ext>
          </c:extLst>
        </c:ser>
        <c:ser>
          <c:idx val="1"/>
          <c:order val="1"/>
          <c:tx>
            <c:strRef>
              <c:f>Ubicacion!$D$2</c:f>
              <c:strCache>
                <c:ptCount val="1"/>
                <c:pt idx="0">
                  <c:v>2013-2024</c:v>
                </c:pt>
              </c:strCache>
            </c:strRef>
          </c:tx>
          <c:spPr>
            <a:solidFill>
              <a:schemeClr val="accent2"/>
            </a:solidFill>
            <a:ln>
              <a:noFill/>
            </a:ln>
            <a:effectLst/>
          </c:spPr>
          <c:invertIfNegative val="0"/>
          <c:cat>
            <c:strRef>
              <c:f>Ubicacion!$B$3:$B$4</c:f>
              <c:strCache>
                <c:ptCount val="2"/>
                <c:pt idx="0">
                  <c:v>Onshore</c:v>
                </c:pt>
                <c:pt idx="1">
                  <c:v>Offshore</c:v>
                </c:pt>
              </c:strCache>
            </c:strRef>
          </c:cat>
          <c:val>
            <c:numRef>
              <c:f>Ubicacion!$D$3:$D$4</c:f>
              <c:numCache>
                <c:formatCode>General</c:formatCode>
                <c:ptCount val="2"/>
                <c:pt idx="0">
                  <c:v>259</c:v>
                </c:pt>
                <c:pt idx="1">
                  <c:v>10</c:v>
                </c:pt>
              </c:numCache>
            </c:numRef>
          </c:val>
          <c:extLst>
            <c:ext xmlns:c16="http://schemas.microsoft.com/office/drawing/2014/chart" uri="{C3380CC4-5D6E-409C-BE32-E72D297353CC}">
              <c16:uniqueId val="{00000001-10CE-7342-BE77-12EE23983E8D}"/>
            </c:ext>
          </c:extLst>
        </c:ser>
        <c:dLbls>
          <c:showLegendKey val="0"/>
          <c:showVal val="0"/>
          <c:showCatName val="0"/>
          <c:showSerName val="0"/>
          <c:showPercent val="0"/>
          <c:showBubbleSize val="0"/>
        </c:dLbls>
        <c:gapWidth val="150"/>
        <c:overlap val="100"/>
        <c:axId val="2113158784"/>
        <c:axId val="1945989328"/>
      </c:barChart>
      <c:catAx>
        <c:axId val="211315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45989328"/>
        <c:crosses val="autoZero"/>
        <c:auto val="1"/>
        <c:lblAlgn val="ctr"/>
        <c:lblOffset val="100"/>
        <c:noMultiLvlLbl val="0"/>
      </c:catAx>
      <c:valAx>
        <c:axId val="194598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315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fabricantes!$C$2</c:f>
              <c:strCache>
                <c:ptCount val="1"/>
                <c:pt idx="0">
                  <c:v>2000-2012</c:v>
                </c:pt>
              </c:strCache>
            </c:strRef>
          </c:tx>
          <c:spPr>
            <a:solidFill>
              <a:schemeClr val="accent1"/>
            </a:solidFill>
            <a:ln>
              <a:noFill/>
            </a:ln>
            <a:effectLst/>
          </c:spPr>
          <c:invertIfNegative val="0"/>
          <c:cat>
            <c:strRef>
              <c:f>fabricantes!$B$3:$B$44</c:f>
              <c:strCache>
                <c:ptCount val="42"/>
                <c:pt idx="0">
                  <c:v>Vestas</c:v>
                </c:pt>
                <c:pt idx="1">
                  <c:v>ND</c:v>
                </c:pt>
                <c:pt idx="2">
                  <c:v>Gamesa</c:v>
                </c:pt>
                <c:pt idx="3">
                  <c:v>Enercon</c:v>
                </c:pt>
                <c:pt idx="4">
                  <c:v>Siemens</c:v>
                </c:pt>
                <c:pt idx="5">
                  <c:v>GE Energy</c:v>
                </c:pt>
                <c:pt idx="6">
                  <c:v>Neg Micon</c:v>
                </c:pt>
                <c:pt idx="7">
                  <c:v>Bonus</c:v>
                </c:pt>
                <c:pt idx="8">
                  <c:v>Nordex</c:v>
                </c:pt>
                <c:pt idx="9">
                  <c:v>Suzlon</c:v>
                </c:pt>
                <c:pt idx="10">
                  <c:v>Repower</c:v>
                </c:pt>
                <c:pt idx="11">
                  <c:v>Senvion</c:v>
                </c:pt>
                <c:pt idx="12">
                  <c:v>Clipper</c:v>
                </c:pt>
                <c:pt idx="13">
                  <c:v>Fuhrlander</c:v>
                </c:pt>
                <c:pt idx="14">
                  <c:v>AWT</c:v>
                </c:pt>
                <c:pt idx="15">
                  <c:v>Ecotecnia</c:v>
                </c:pt>
                <c:pt idx="16">
                  <c:v>Tacke</c:v>
                </c:pt>
                <c:pt idx="17">
                  <c:v>Acciona</c:v>
                </c:pt>
                <c:pt idx="18">
                  <c:v>Dewind</c:v>
                </c:pt>
                <c:pt idx="19">
                  <c:v>Winwind</c:v>
                </c:pt>
                <c:pt idx="20">
                  <c:v>Sinovel</c:v>
                </c:pt>
                <c:pt idx="21">
                  <c:v>Siemens-Gamesa</c:v>
                </c:pt>
                <c:pt idx="22">
                  <c:v>Sudwind</c:v>
                </c:pt>
                <c:pt idx="23">
                  <c:v>GET Danwin</c:v>
                </c:pt>
                <c:pt idx="24">
                  <c:v>Nedwind</c:v>
                </c:pt>
                <c:pt idx="25">
                  <c:v>Inox wind</c:v>
                </c:pt>
                <c:pt idx="26">
                  <c:v>Zond</c:v>
                </c:pt>
                <c:pt idx="27">
                  <c:v>Samsung</c:v>
                </c:pt>
                <c:pt idx="28">
                  <c:v>Made</c:v>
                </c:pt>
                <c:pt idx="29">
                  <c:v>Prokon</c:v>
                </c:pt>
                <c:pt idx="30">
                  <c:v>Alstom Power</c:v>
                </c:pt>
                <c:pt idx="31">
                  <c:v>Mitsubishi</c:v>
                </c:pt>
                <c:pt idx="32">
                  <c:v>Leitwind</c:v>
                </c:pt>
                <c:pt idx="33">
                  <c:v>Seewind</c:v>
                </c:pt>
                <c:pt idx="34">
                  <c:v>Turbowinds</c:v>
                </c:pt>
                <c:pt idx="35">
                  <c:v>Elsam</c:v>
                </c:pt>
                <c:pt idx="36">
                  <c:v>HSW</c:v>
                </c:pt>
                <c:pt idx="37">
                  <c:v>Micon</c:v>
                </c:pt>
                <c:pt idx="38">
                  <c:v>Nordtank</c:v>
                </c:pt>
                <c:pt idx="39">
                  <c:v>Kenetech</c:v>
                </c:pt>
                <c:pt idx="40">
                  <c:v>James Howden</c:v>
                </c:pt>
                <c:pt idx="41">
                  <c:v>Northern Power Systems</c:v>
                </c:pt>
              </c:strCache>
            </c:strRef>
          </c:cat>
          <c:val>
            <c:numRef>
              <c:f>fabricantes!$C$3:$C$44</c:f>
              <c:numCache>
                <c:formatCode>General</c:formatCode>
                <c:ptCount val="42"/>
                <c:pt idx="0">
                  <c:v>45</c:v>
                </c:pt>
                <c:pt idx="1">
                  <c:v>49</c:v>
                </c:pt>
                <c:pt idx="2">
                  <c:v>10</c:v>
                </c:pt>
                <c:pt idx="3">
                  <c:v>13</c:v>
                </c:pt>
                <c:pt idx="4">
                  <c:v>22</c:v>
                </c:pt>
                <c:pt idx="5">
                  <c:v>8</c:v>
                </c:pt>
                <c:pt idx="6">
                  <c:v>14</c:v>
                </c:pt>
                <c:pt idx="7">
                  <c:v>14</c:v>
                </c:pt>
                <c:pt idx="8">
                  <c:v>2</c:v>
                </c:pt>
                <c:pt idx="9">
                  <c:v>5</c:v>
                </c:pt>
                <c:pt idx="10">
                  <c:v>3</c:v>
                </c:pt>
                <c:pt idx="11">
                  <c:v>0</c:v>
                </c:pt>
                <c:pt idx="12">
                  <c:v>3</c:v>
                </c:pt>
                <c:pt idx="13">
                  <c:v>1</c:v>
                </c:pt>
                <c:pt idx="14">
                  <c:v>4</c:v>
                </c:pt>
                <c:pt idx="15">
                  <c:v>0</c:v>
                </c:pt>
                <c:pt idx="16">
                  <c:v>2</c:v>
                </c:pt>
                <c:pt idx="17">
                  <c:v>1</c:v>
                </c:pt>
                <c:pt idx="18">
                  <c:v>1</c:v>
                </c:pt>
                <c:pt idx="19">
                  <c:v>0</c:v>
                </c:pt>
                <c:pt idx="20">
                  <c:v>1</c:v>
                </c:pt>
                <c:pt idx="21">
                  <c:v>0</c:v>
                </c:pt>
                <c:pt idx="22">
                  <c:v>2</c:v>
                </c:pt>
                <c:pt idx="23">
                  <c:v>2</c:v>
                </c:pt>
                <c:pt idx="24">
                  <c:v>2</c:v>
                </c:pt>
                <c:pt idx="25">
                  <c:v>0</c:v>
                </c:pt>
                <c:pt idx="26">
                  <c:v>0</c:v>
                </c:pt>
                <c:pt idx="27">
                  <c:v>0</c:v>
                </c:pt>
                <c:pt idx="28">
                  <c:v>0</c:v>
                </c:pt>
                <c:pt idx="29">
                  <c:v>0</c:v>
                </c:pt>
                <c:pt idx="30">
                  <c:v>0</c:v>
                </c:pt>
                <c:pt idx="31">
                  <c:v>0</c:v>
                </c:pt>
                <c:pt idx="32">
                  <c:v>0</c:v>
                </c:pt>
                <c:pt idx="33">
                  <c:v>0</c:v>
                </c:pt>
                <c:pt idx="34">
                  <c:v>0</c:v>
                </c:pt>
                <c:pt idx="35">
                  <c:v>1</c:v>
                </c:pt>
                <c:pt idx="36">
                  <c:v>1</c:v>
                </c:pt>
                <c:pt idx="37">
                  <c:v>1</c:v>
                </c:pt>
                <c:pt idx="38">
                  <c:v>0</c:v>
                </c:pt>
                <c:pt idx="39">
                  <c:v>1</c:v>
                </c:pt>
                <c:pt idx="40">
                  <c:v>1</c:v>
                </c:pt>
                <c:pt idx="41">
                  <c:v>0</c:v>
                </c:pt>
              </c:numCache>
            </c:numRef>
          </c:val>
          <c:extLst>
            <c:ext xmlns:c16="http://schemas.microsoft.com/office/drawing/2014/chart" uri="{C3380CC4-5D6E-409C-BE32-E72D297353CC}">
              <c16:uniqueId val="{00000000-4781-2A49-A0CF-FF319DDEC2C8}"/>
            </c:ext>
          </c:extLst>
        </c:ser>
        <c:ser>
          <c:idx val="1"/>
          <c:order val="1"/>
          <c:tx>
            <c:strRef>
              <c:f>fabricantes!$D$2</c:f>
              <c:strCache>
                <c:ptCount val="1"/>
                <c:pt idx="0">
                  <c:v>2013-2024</c:v>
                </c:pt>
              </c:strCache>
            </c:strRef>
          </c:tx>
          <c:spPr>
            <a:solidFill>
              <a:schemeClr val="accent2"/>
            </a:solidFill>
            <a:ln>
              <a:noFill/>
            </a:ln>
            <a:effectLst/>
          </c:spPr>
          <c:invertIfNegative val="0"/>
          <c:cat>
            <c:strRef>
              <c:f>fabricantes!$B$3:$B$44</c:f>
              <c:strCache>
                <c:ptCount val="42"/>
                <c:pt idx="0">
                  <c:v>Vestas</c:v>
                </c:pt>
                <c:pt idx="1">
                  <c:v>ND</c:v>
                </c:pt>
                <c:pt idx="2">
                  <c:v>Gamesa</c:v>
                </c:pt>
                <c:pt idx="3">
                  <c:v>Enercon</c:v>
                </c:pt>
                <c:pt idx="4">
                  <c:v>Siemens</c:v>
                </c:pt>
                <c:pt idx="5">
                  <c:v>GE Energy</c:v>
                </c:pt>
                <c:pt idx="6">
                  <c:v>Neg Micon</c:v>
                </c:pt>
                <c:pt idx="7">
                  <c:v>Bonus</c:v>
                </c:pt>
                <c:pt idx="8">
                  <c:v>Nordex</c:v>
                </c:pt>
                <c:pt idx="9">
                  <c:v>Suzlon</c:v>
                </c:pt>
                <c:pt idx="10">
                  <c:v>Repower</c:v>
                </c:pt>
                <c:pt idx="11">
                  <c:v>Senvion</c:v>
                </c:pt>
                <c:pt idx="12">
                  <c:v>Clipper</c:v>
                </c:pt>
                <c:pt idx="13">
                  <c:v>Fuhrlander</c:v>
                </c:pt>
                <c:pt idx="14">
                  <c:v>AWT</c:v>
                </c:pt>
                <c:pt idx="15">
                  <c:v>Ecotecnia</c:v>
                </c:pt>
                <c:pt idx="16">
                  <c:v>Tacke</c:v>
                </c:pt>
                <c:pt idx="17">
                  <c:v>Acciona</c:v>
                </c:pt>
                <c:pt idx="18">
                  <c:v>Dewind</c:v>
                </c:pt>
                <c:pt idx="19">
                  <c:v>Winwind</c:v>
                </c:pt>
                <c:pt idx="20">
                  <c:v>Sinovel</c:v>
                </c:pt>
                <c:pt idx="21">
                  <c:v>Siemens-Gamesa</c:v>
                </c:pt>
                <c:pt idx="22">
                  <c:v>Sudwind</c:v>
                </c:pt>
                <c:pt idx="23">
                  <c:v>GET Danwin</c:v>
                </c:pt>
                <c:pt idx="24">
                  <c:v>Nedwind</c:v>
                </c:pt>
                <c:pt idx="25">
                  <c:v>Inox wind</c:v>
                </c:pt>
                <c:pt idx="26">
                  <c:v>Zond</c:v>
                </c:pt>
                <c:pt idx="27">
                  <c:v>Samsung</c:v>
                </c:pt>
                <c:pt idx="28">
                  <c:v>Made</c:v>
                </c:pt>
                <c:pt idx="29">
                  <c:v>Prokon</c:v>
                </c:pt>
                <c:pt idx="30">
                  <c:v>Alstom Power</c:v>
                </c:pt>
                <c:pt idx="31">
                  <c:v>Mitsubishi</c:v>
                </c:pt>
                <c:pt idx="32">
                  <c:v>Leitwind</c:v>
                </c:pt>
                <c:pt idx="33">
                  <c:v>Seewind</c:v>
                </c:pt>
                <c:pt idx="34">
                  <c:v>Turbowinds</c:v>
                </c:pt>
                <c:pt idx="35">
                  <c:v>Elsam</c:v>
                </c:pt>
                <c:pt idx="36">
                  <c:v>HSW</c:v>
                </c:pt>
                <c:pt idx="37">
                  <c:v>Micon</c:v>
                </c:pt>
                <c:pt idx="38">
                  <c:v>Nordtank</c:v>
                </c:pt>
                <c:pt idx="39">
                  <c:v>Kenetech</c:v>
                </c:pt>
                <c:pt idx="40">
                  <c:v>James Howden</c:v>
                </c:pt>
                <c:pt idx="41">
                  <c:v>Northern Power Systems</c:v>
                </c:pt>
              </c:strCache>
            </c:strRef>
          </c:cat>
          <c:val>
            <c:numRef>
              <c:f>fabricantes!$D$3:$D$44</c:f>
              <c:numCache>
                <c:formatCode>General</c:formatCode>
                <c:ptCount val="42"/>
                <c:pt idx="0">
                  <c:v>55</c:v>
                </c:pt>
                <c:pt idx="1">
                  <c:v>49</c:v>
                </c:pt>
                <c:pt idx="2">
                  <c:v>38</c:v>
                </c:pt>
                <c:pt idx="3">
                  <c:v>28</c:v>
                </c:pt>
                <c:pt idx="4">
                  <c:v>10</c:v>
                </c:pt>
                <c:pt idx="5">
                  <c:v>18</c:v>
                </c:pt>
                <c:pt idx="6">
                  <c:v>7</c:v>
                </c:pt>
                <c:pt idx="7">
                  <c:v>1</c:v>
                </c:pt>
                <c:pt idx="8">
                  <c:v>12</c:v>
                </c:pt>
                <c:pt idx="9">
                  <c:v>8</c:v>
                </c:pt>
                <c:pt idx="10">
                  <c:v>5</c:v>
                </c:pt>
                <c:pt idx="11">
                  <c:v>7</c:v>
                </c:pt>
                <c:pt idx="12">
                  <c:v>2</c:v>
                </c:pt>
                <c:pt idx="13">
                  <c:v>3</c:v>
                </c:pt>
                <c:pt idx="14">
                  <c:v>0</c:v>
                </c:pt>
                <c:pt idx="15">
                  <c:v>3</c:v>
                </c:pt>
                <c:pt idx="16">
                  <c:v>1</c:v>
                </c:pt>
                <c:pt idx="17">
                  <c:v>2</c:v>
                </c:pt>
                <c:pt idx="18">
                  <c:v>2</c:v>
                </c:pt>
                <c:pt idx="19">
                  <c:v>2</c:v>
                </c:pt>
                <c:pt idx="20">
                  <c:v>1</c:v>
                </c:pt>
                <c:pt idx="21">
                  <c:v>2</c:v>
                </c:pt>
                <c:pt idx="22">
                  <c:v>0</c:v>
                </c:pt>
                <c:pt idx="23">
                  <c:v>0</c:v>
                </c:pt>
                <c:pt idx="24">
                  <c:v>0</c:v>
                </c:pt>
                <c:pt idx="25">
                  <c:v>2</c:v>
                </c:pt>
                <c:pt idx="26">
                  <c:v>1</c:v>
                </c:pt>
                <c:pt idx="27">
                  <c:v>1</c:v>
                </c:pt>
                <c:pt idx="28">
                  <c:v>1</c:v>
                </c:pt>
                <c:pt idx="29">
                  <c:v>1</c:v>
                </c:pt>
                <c:pt idx="30">
                  <c:v>1</c:v>
                </c:pt>
                <c:pt idx="31">
                  <c:v>1</c:v>
                </c:pt>
                <c:pt idx="32">
                  <c:v>1</c:v>
                </c:pt>
                <c:pt idx="33">
                  <c:v>1</c:v>
                </c:pt>
                <c:pt idx="34">
                  <c:v>1</c:v>
                </c:pt>
                <c:pt idx="35">
                  <c:v>0</c:v>
                </c:pt>
                <c:pt idx="36">
                  <c:v>0</c:v>
                </c:pt>
                <c:pt idx="37">
                  <c:v>0</c:v>
                </c:pt>
                <c:pt idx="38">
                  <c:v>1</c:v>
                </c:pt>
                <c:pt idx="39">
                  <c:v>0</c:v>
                </c:pt>
                <c:pt idx="40">
                  <c:v>0</c:v>
                </c:pt>
                <c:pt idx="41">
                  <c:v>1</c:v>
                </c:pt>
              </c:numCache>
            </c:numRef>
          </c:val>
          <c:extLst>
            <c:ext xmlns:c16="http://schemas.microsoft.com/office/drawing/2014/chart" uri="{C3380CC4-5D6E-409C-BE32-E72D297353CC}">
              <c16:uniqueId val="{00000001-4781-2A49-A0CF-FF319DDEC2C8}"/>
            </c:ext>
          </c:extLst>
        </c:ser>
        <c:dLbls>
          <c:showLegendKey val="0"/>
          <c:showVal val="0"/>
          <c:showCatName val="0"/>
          <c:showSerName val="0"/>
          <c:showPercent val="0"/>
          <c:showBubbleSize val="0"/>
        </c:dLbls>
        <c:gapWidth val="219"/>
        <c:overlap val="-27"/>
        <c:axId val="768715871"/>
        <c:axId val="768717583"/>
      </c:barChart>
      <c:lineChart>
        <c:grouping val="standard"/>
        <c:varyColors val="0"/>
        <c:ser>
          <c:idx val="2"/>
          <c:order val="2"/>
          <c:tx>
            <c:strRef>
              <c:f>fabricantes!$E$2</c:f>
              <c:strCache>
                <c:ptCount val="1"/>
                <c:pt idx="0">
                  <c:v>Total</c:v>
                </c:pt>
              </c:strCache>
            </c:strRef>
          </c:tx>
          <c:spPr>
            <a:ln w="28575" cap="rnd">
              <a:solidFill>
                <a:schemeClr val="accent3"/>
              </a:solidFill>
              <a:round/>
            </a:ln>
            <a:effectLst/>
          </c:spPr>
          <c:marker>
            <c:symbol val="none"/>
          </c:marker>
          <c:cat>
            <c:strRef>
              <c:f>fabricantes!$B$3:$B$44</c:f>
              <c:strCache>
                <c:ptCount val="42"/>
                <c:pt idx="0">
                  <c:v>Vestas</c:v>
                </c:pt>
                <c:pt idx="1">
                  <c:v>ND</c:v>
                </c:pt>
                <c:pt idx="2">
                  <c:v>Gamesa</c:v>
                </c:pt>
                <c:pt idx="3">
                  <c:v>Enercon</c:v>
                </c:pt>
                <c:pt idx="4">
                  <c:v>Siemens</c:v>
                </c:pt>
                <c:pt idx="5">
                  <c:v>GE Energy</c:v>
                </c:pt>
                <c:pt idx="6">
                  <c:v>Neg Micon</c:v>
                </c:pt>
                <c:pt idx="7">
                  <c:v>Bonus</c:v>
                </c:pt>
                <c:pt idx="8">
                  <c:v>Nordex</c:v>
                </c:pt>
                <c:pt idx="9">
                  <c:v>Suzlon</c:v>
                </c:pt>
                <c:pt idx="10">
                  <c:v>Repower</c:v>
                </c:pt>
                <c:pt idx="11">
                  <c:v>Senvion</c:v>
                </c:pt>
                <c:pt idx="12">
                  <c:v>Clipper</c:v>
                </c:pt>
                <c:pt idx="13">
                  <c:v>Fuhrlander</c:v>
                </c:pt>
                <c:pt idx="14">
                  <c:v>AWT</c:v>
                </c:pt>
                <c:pt idx="15">
                  <c:v>Ecotecnia</c:v>
                </c:pt>
                <c:pt idx="16">
                  <c:v>Tacke</c:v>
                </c:pt>
                <c:pt idx="17">
                  <c:v>Acciona</c:v>
                </c:pt>
                <c:pt idx="18">
                  <c:v>Dewind</c:v>
                </c:pt>
                <c:pt idx="19">
                  <c:v>Winwind</c:v>
                </c:pt>
                <c:pt idx="20">
                  <c:v>Sinovel</c:v>
                </c:pt>
                <c:pt idx="21">
                  <c:v>Siemens-Gamesa</c:v>
                </c:pt>
                <c:pt idx="22">
                  <c:v>Sudwind</c:v>
                </c:pt>
                <c:pt idx="23">
                  <c:v>GET Danwin</c:v>
                </c:pt>
                <c:pt idx="24">
                  <c:v>Nedwind</c:v>
                </c:pt>
                <c:pt idx="25">
                  <c:v>Inox wind</c:v>
                </c:pt>
                <c:pt idx="26">
                  <c:v>Zond</c:v>
                </c:pt>
                <c:pt idx="27">
                  <c:v>Samsung</c:v>
                </c:pt>
                <c:pt idx="28">
                  <c:v>Made</c:v>
                </c:pt>
                <c:pt idx="29">
                  <c:v>Prokon</c:v>
                </c:pt>
                <c:pt idx="30">
                  <c:v>Alstom Power</c:v>
                </c:pt>
                <c:pt idx="31">
                  <c:v>Mitsubishi</c:v>
                </c:pt>
                <c:pt idx="32">
                  <c:v>Leitwind</c:v>
                </c:pt>
                <c:pt idx="33">
                  <c:v>Seewind</c:v>
                </c:pt>
                <c:pt idx="34">
                  <c:v>Turbowinds</c:v>
                </c:pt>
                <c:pt idx="35">
                  <c:v>Elsam</c:v>
                </c:pt>
                <c:pt idx="36">
                  <c:v>HSW</c:v>
                </c:pt>
                <c:pt idx="37">
                  <c:v>Micon</c:v>
                </c:pt>
                <c:pt idx="38">
                  <c:v>Nordtank</c:v>
                </c:pt>
                <c:pt idx="39">
                  <c:v>Kenetech</c:v>
                </c:pt>
                <c:pt idx="40">
                  <c:v>James Howden</c:v>
                </c:pt>
                <c:pt idx="41">
                  <c:v>Northern Power Systems</c:v>
                </c:pt>
              </c:strCache>
            </c:strRef>
          </c:cat>
          <c:val>
            <c:numRef>
              <c:f>fabricantes!$E$3:$E$44</c:f>
              <c:numCache>
                <c:formatCode>General</c:formatCode>
                <c:ptCount val="42"/>
                <c:pt idx="0">
                  <c:v>100</c:v>
                </c:pt>
                <c:pt idx="1">
                  <c:v>98</c:v>
                </c:pt>
                <c:pt idx="2">
                  <c:v>48</c:v>
                </c:pt>
                <c:pt idx="3">
                  <c:v>41</c:v>
                </c:pt>
                <c:pt idx="4">
                  <c:v>32</c:v>
                </c:pt>
                <c:pt idx="5">
                  <c:v>26</c:v>
                </c:pt>
                <c:pt idx="6">
                  <c:v>21</c:v>
                </c:pt>
                <c:pt idx="7">
                  <c:v>15</c:v>
                </c:pt>
                <c:pt idx="8">
                  <c:v>14</c:v>
                </c:pt>
                <c:pt idx="9">
                  <c:v>13</c:v>
                </c:pt>
                <c:pt idx="10">
                  <c:v>8</c:v>
                </c:pt>
                <c:pt idx="11">
                  <c:v>7</c:v>
                </c:pt>
                <c:pt idx="12">
                  <c:v>5</c:v>
                </c:pt>
                <c:pt idx="13">
                  <c:v>4</c:v>
                </c:pt>
                <c:pt idx="14">
                  <c:v>4</c:v>
                </c:pt>
                <c:pt idx="15">
                  <c:v>3</c:v>
                </c:pt>
                <c:pt idx="16">
                  <c:v>3</c:v>
                </c:pt>
                <c:pt idx="17">
                  <c:v>3</c:v>
                </c:pt>
                <c:pt idx="18">
                  <c:v>3</c:v>
                </c:pt>
                <c:pt idx="19">
                  <c:v>2</c:v>
                </c:pt>
                <c:pt idx="20">
                  <c:v>2</c:v>
                </c:pt>
                <c:pt idx="21">
                  <c:v>2</c:v>
                </c:pt>
                <c:pt idx="22">
                  <c:v>2</c:v>
                </c:pt>
                <c:pt idx="23">
                  <c:v>2</c:v>
                </c:pt>
                <c:pt idx="24">
                  <c:v>2</c:v>
                </c:pt>
                <c:pt idx="25">
                  <c:v>2</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numCache>
            </c:numRef>
          </c:val>
          <c:smooth val="0"/>
          <c:extLst>
            <c:ext xmlns:c16="http://schemas.microsoft.com/office/drawing/2014/chart" uri="{C3380CC4-5D6E-409C-BE32-E72D297353CC}">
              <c16:uniqueId val="{00000002-4781-2A49-A0CF-FF319DDEC2C8}"/>
            </c:ext>
          </c:extLst>
        </c:ser>
        <c:dLbls>
          <c:showLegendKey val="0"/>
          <c:showVal val="0"/>
          <c:showCatName val="0"/>
          <c:showSerName val="0"/>
          <c:showPercent val="0"/>
          <c:showBubbleSize val="0"/>
        </c:dLbls>
        <c:marker val="1"/>
        <c:smooth val="0"/>
        <c:axId val="768715871"/>
        <c:axId val="768717583"/>
      </c:lineChart>
      <c:catAx>
        <c:axId val="76871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768717583"/>
        <c:crosses val="autoZero"/>
        <c:auto val="1"/>
        <c:lblAlgn val="ctr"/>
        <c:lblOffset val="100"/>
        <c:noMultiLvlLbl val="0"/>
      </c:catAx>
      <c:valAx>
        <c:axId val="768717583"/>
        <c:scaling>
          <c:orientation val="minMax"/>
          <c:max val="10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8715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Potencia!$C$2</c:f>
              <c:strCache>
                <c:ptCount val="1"/>
                <c:pt idx="0">
                  <c:v>2000-2012</c:v>
                </c:pt>
              </c:strCache>
            </c:strRef>
          </c:tx>
          <c:spPr>
            <a:solidFill>
              <a:schemeClr val="accent1"/>
            </a:solidFill>
            <a:ln>
              <a:noFill/>
            </a:ln>
            <a:effectLst/>
          </c:spPr>
          <c:invertIfNegative val="0"/>
          <c:cat>
            <c:numRef>
              <c:f>Potencia!$B$3:$B$47</c:f>
              <c:numCache>
                <c:formatCode>General</c:formatCode>
                <c:ptCount val="45"/>
                <c:pt idx="0">
                  <c:v>0.1</c:v>
                </c:pt>
                <c:pt idx="1">
                  <c:v>0.15</c:v>
                </c:pt>
                <c:pt idx="2">
                  <c:v>0.18</c:v>
                </c:pt>
                <c:pt idx="3">
                  <c:v>0.2</c:v>
                </c:pt>
                <c:pt idx="4">
                  <c:v>0.3</c:v>
                </c:pt>
                <c:pt idx="5">
                  <c:v>0.36</c:v>
                </c:pt>
                <c:pt idx="6">
                  <c:v>0.4</c:v>
                </c:pt>
                <c:pt idx="7">
                  <c:v>0.5</c:v>
                </c:pt>
                <c:pt idx="8">
                  <c:v>0.6</c:v>
                </c:pt>
                <c:pt idx="9">
                  <c:v>0.66</c:v>
                </c:pt>
                <c:pt idx="10">
                  <c:v>0.75</c:v>
                </c:pt>
                <c:pt idx="11">
                  <c:v>0.8</c:v>
                </c:pt>
                <c:pt idx="12">
                  <c:v>0.85</c:v>
                </c:pt>
                <c:pt idx="13">
                  <c:v>0.9</c:v>
                </c:pt>
                <c:pt idx="14">
                  <c:v>0.95</c:v>
                </c:pt>
                <c:pt idx="15">
                  <c:v>1</c:v>
                </c:pt>
                <c:pt idx="16">
                  <c:v>1.25</c:v>
                </c:pt>
                <c:pt idx="17">
                  <c:v>1.3</c:v>
                </c:pt>
                <c:pt idx="18">
                  <c:v>1.5</c:v>
                </c:pt>
                <c:pt idx="19">
                  <c:v>1.6</c:v>
                </c:pt>
                <c:pt idx="20">
                  <c:v>1.65</c:v>
                </c:pt>
                <c:pt idx="21">
                  <c:v>1.67</c:v>
                </c:pt>
                <c:pt idx="22">
                  <c:v>1.7</c:v>
                </c:pt>
                <c:pt idx="23">
                  <c:v>1.75</c:v>
                </c:pt>
                <c:pt idx="24">
                  <c:v>1.8</c:v>
                </c:pt>
                <c:pt idx="25">
                  <c:v>2</c:v>
                </c:pt>
                <c:pt idx="26">
                  <c:v>2.0499999999999998</c:v>
                </c:pt>
                <c:pt idx="27">
                  <c:v>2.1</c:v>
                </c:pt>
                <c:pt idx="28">
                  <c:v>2.2999999999999998</c:v>
                </c:pt>
                <c:pt idx="29">
                  <c:v>2.35</c:v>
                </c:pt>
                <c:pt idx="30">
                  <c:v>2.5</c:v>
                </c:pt>
                <c:pt idx="31">
                  <c:v>2.75</c:v>
                </c:pt>
                <c:pt idx="32">
                  <c:v>2.8</c:v>
                </c:pt>
                <c:pt idx="33">
                  <c:v>3</c:v>
                </c:pt>
                <c:pt idx="34">
                  <c:v>3.05</c:v>
                </c:pt>
                <c:pt idx="35">
                  <c:v>3.0750000000000002</c:v>
                </c:pt>
                <c:pt idx="36">
                  <c:v>3.2</c:v>
                </c:pt>
                <c:pt idx="37">
                  <c:v>3.3</c:v>
                </c:pt>
                <c:pt idx="38">
                  <c:v>3.45</c:v>
                </c:pt>
                <c:pt idx="39">
                  <c:v>3.4649999999999999</c:v>
                </c:pt>
                <c:pt idx="40">
                  <c:v>3.6</c:v>
                </c:pt>
                <c:pt idx="41">
                  <c:v>4</c:v>
                </c:pt>
                <c:pt idx="42">
                  <c:v>5</c:v>
                </c:pt>
                <c:pt idx="43">
                  <c:v>8</c:v>
                </c:pt>
                <c:pt idx="44">
                  <c:v>9.5</c:v>
                </c:pt>
              </c:numCache>
            </c:numRef>
          </c:cat>
          <c:val>
            <c:numRef>
              <c:f>Potencia!$C$3:$C$47</c:f>
              <c:numCache>
                <c:formatCode>General</c:formatCode>
                <c:ptCount val="45"/>
                <c:pt idx="0">
                  <c:v>0</c:v>
                </c:pt>
                <c:pt idx="1">
                  <c:v>0</c:v>
                </c:pt>
                <c:pt idx="2">
                  <c:v>0</c:v>
                </c:pt>
                <c:pt idx="3">
                  <c:v>1</c:v>
                </c:pt>
                <c:pt idx="4">
                  <c:v>0</c:v>
                </c:pt>
                <c:pt idx="5">
                  <c:v>1</c:v>
                </c:pt>
                <c:pt idx="6">
                  <c:v>0</c:v>
                </c:pt>
                <c:pt idx="7">
                  <c:v>4</c:v>
                </c:pt>
                <c:pt idx="8">
                  <c:v>6</c:v>
                </c:pt>
                <c:pt idx="9">
                  <c:v>4</c:v>
                </c:pt>
                <c:pt idx="10">
                  <c:v>3</c:v>
                </c:pt>
                <c:pt idx="11">
                  <c:v>1</c:v>
                </c:pt>
                <c:pt idx="12">
                  <c:v>3</c:v>
                </c:pt>
                <c:pt idx="13">
                  <c:v>3</c:v>
                </c:pt>
                <c:pt idx="14">
                  <c:v>0</c:v>
                </c:pt>
                <c:pt idx="15">
                  <c:v>3</c:v>
                </c:pt>
                <c:pt idx="16">
                  <c:v>1</c:v>
                </c:pt>
                <c:pt idx="17">
                  <c:v>1</c:v>
                </c:pt>
                <c:pt idx="18">
                  <c:v>13</c:v>
                </c:pt>
                <c:pt idx="19">
                  <c:v>0</c:v>
                </c:pt>
                <c:pt idx="20">
                  <c:v>3</c:v>
                </c:pt>
                <c:pt idx="21">
                  <c:v>0</c:v>
                </c:pt>
                <c:pt idx="22">
                  <c:v>0</c:v>
                </c:pt>
                <c:pt idx="23">
                  <c:v>4</c:v>
                </c:pt>
                <c:pt idx="24">
                  <c:v>3</c:v>
                </c:pt>
                <c:pt idx="25">
                  <c:v>18</c:v>
                </c:pt>
                <c:pt idx="26">
                  <c:v>0</c:v>
                </c:pt>
                <c:pt idx="27">
                  <c:v>4</c:v>
                </c:pt>
                <c:pt idx="28">
                  <c:v>16</c:v>
                </c:pt>
                <c:pt idx="29">
                  <c:v>0</c:v>
                </c:pt>
                <c:pt idx="30">
                  <c:v>5</c:v>
                </c:pt>
                <c:pt idx="31">
                  <c:v>0</c:v>
                </c:pt>
                <c:pt idx="32">
                  <c:v>0</c:v>
                </c:pt>
                <c:pt idx="33">
                  <c:v>4</c:v>
                </c:pt>
                <c:pt idx="34">
                  <c:v>0</c:v>
                </c:pt>
                <c:pt idx="35">
                  <c:v>0</c:v>
                </c:pt>
                <c:pt idx="36">
                  <c:v>0</c:v>
                </c:pt>
                <c:pt idx="37">
                  <c:v>0</c:v>
                </c:pt>
                <c:pt idx="38">
                  <c:v>1</c:v>
                </c:pt>
                <c:pt idx="39">
                  <c:v>0</c:v>
                </c:pt>
                <c:pt idx="40">
                  <c:v>0</c:v>
                </c:pt>
                <c:pt idx="41">
                  <c:v>0</c:v>
                </c:pt>
                <c:pt idx="42">
                  <c:v>0</c:v>
                </c:pt>
                <c:pt idx="43">
                  <c:v>1</c:v>
                </c:pt>
                <c:pt idx="44">
                  <c:v>0</c:v>
                </c:pt>
              </c:numCache>
            </c:numRef>
          </c:val>
          <c:extLst>
            <c:ext xmlns:c16="http://schemas.microsoft.com/office/drawing/2014/chart" uri="{C3380CC4-5D6E-409C-BE32-E72D297353CC}">
              <c16:uniqueId val="{00000000-9A60-6145-9F77-946ED19EF4E5}"/>
            </c:ext>
          </c:extLst>
        </c:ser>
        <c:ser>
          <c:idx val="1"/>
          <c:order val="1"/>
          <c:tx>
            <c:strRef>
              <c:f>Potencia!$D$2</c:f>
              <c:strCache>
                <c:ptCount val="1"/>
                <c:pt idx="0">
                  <c:v>2012-2024</c:v>
                </c:pt>
              </c:strCache>
            </c:strRef>
          </c:tx>
          <c:spPr>
            <a:solidFill>
              <a:schemeClr val="accent2"/>
            </a:solidFill>
            <a:ln>
              <a:noFill/>
            </a:ln>
            <a:effectLst/>
          </c:spPr>
          <c:invertIfNegative val="0"/>
          <c:cat>
            <c:numRef>
              <c:f>Potencia!$B$3:$B$47</c:f>
              <c:numCache>
                <c:formatCode>General</c:formatCode>
                <c:ptCount val="45"/>
                <c:pt idx="0">
                  <c:v>0.1</c:v>
                </c:pt>
                <c:pt idx="1">
                  <c:v>0.15</c:v>
                </c:pt>
                <c:pt idx="2">
                  <c:v>0.18</c:v>
                </c:pt>
                <c:pt idx="3">
                  <c:v>0.2</c:v>
                </c:pt>
                <c:pt idx="4">
                  <c:v>0.3</c:v>
                </c:pt>
                <c:pt idx="5">
                  <c:v>0.36</c:v>
                </c:pt>
                <c:pt idx="6">
                  <c:v>0.4</c:v>
                </c:pt>
                <c:pt idx="7">
                  <c:v>0.5</c:v>
                </c:pt>
                <c:pt idx="8">
                  <c:v>0.6</c:v>
                </c:pt>
                <c:pt idx="9">
                  <c:v>0.66</c:v>
                </c:pt>
                <c:pt idx="10">
                  <c:v>0.75</c:v>
                </c:pt>
                <c:pt idx="11">
                  <c:v>0.8</c:v>
                </c:pt>
                <c:pt idx="12">
                  <c:v>0.85</c:v>
                </c:pt>
                <c:pt idx="13">
                  <c:v>0.9</c:v>
                </c:pt>
                <c:pt idx="14">
                  <c:v>0.95</c:v>
                </c:pt>
                <c:pt idx="15">
                  <c:v>1</c:v>
                </c:pt>
                <c:pt idx="16">
                  <c:v>1.25</c:v>
                </c:pt>
                <c:pt idx="17">
                  <c:v>1.3</c:v>
                </c:pt>
                <c:pt idx="18">
                  <c:v>1.5</c:v>
                </c:pt>
                <c:pt idx="19">
                  <c:v>1.6</c:v>
                </c:pt>
                <c:pt idx="20">
                  <c:v>1.65</c:v>
                </c:pt>
                <c:pt idx="21">
                  <c:v>1.67</c:v>
                </c:pt>
                <c:pt idx="22">
                  <c:v>1.7</c:v>
                </c:pt>
                <c:pt idx="23">
                  <c:v>1.75</c:v>
                </c:pt>
                <c:pt idx="24">
                  <c:v>1.8</c:v>
                </c:pt>
                <c:pt idx="25">
                  <c:v>2</c:v>
                </c:pt>
                <c:pt idx="26">
                  <c:v>2.0499999999999998</c:v>
                </c:pt>
                <c:pt idx="27">
                  <c:v>2.1</c:v>
                </c:pt>
                <c:pt idx="28">
                  <c:v>2.2999999999999998</c:v>
                </c:pt>
                <c:pt idx="29">
                  <c:v>2.35</c:v>
                </c:pt>
                <c:pt idx="30">
                  <c:v>2.5</c:v>
                </c:pt>
                <c:pt idx="31">
                  <c:v>2.75</c:v>
                </c:pt>
                <c:pt idx="32">
                  <c:v>2.8</c:v>
                </c:pt>
                <c:pt idx="33">
                  <c:v>3</c:v>
                </c:pt>
                <c:pt idx="34">
                  <c:v>3.05</c:v>
                </c:pt>
                <c:pt idx="35">
                  <c:v>3.0750000000000002</c:v>
                </c:pt>
                <c:pt idx="36">
                  <c:v>3.2</c:v>
                </c:pt>
                <c:pt idx="37">
                  <c:v>3.3</c:v>
                </c:pt>
                <c:pt idx="38">
                  <c:v>3.45</c:v>
                </c:pt>
                <c:pt idx="39">
                  <c:v>3.4649999999999999</c:v>
                </c:pt>
                <c:pt idx="40">
                  <c:v>3.6</c:v>
                </c:pt>
                <c:pt idx="41">
                  <c:v>4</c:v>
                </c:pt>
                <c:pt idx="42">
                  <c:v>5</c:v>
                </c:pt>
                <c:pt idx="43">
                  <c:v>8</c:v>
                </c:pt>
                <c:pt idx="44">
                  <c:v>9.5</c:v>
                </c:pt>
              </c:numCache>
            </c:numRef>
          </c:cat>
          <c:val>
            <c:numRef>
              <c:f>Potencia!$D$3:$D$47</c:f>
              <c:numCache>
                <c:formatCode>General</c:formatCode>
                <c:ptCount val="45"/>
                <c:pt idx="0">
                  <c:v>1</c:v>
                </c:pt>
                <c:pt idx="1">
                  <c:v>1</c:v>
                </c:pt>
                <c:pt idx="2">
                  <c:v>0</c:v>
                </c:pt>
                <c:pt idx="3">
                  <c:v>0</c:v>
                </c:pt>
                <c:pt idx="4">
                  <c:v>1</c:v>
                </c:pt>
                <c:pt idx="5">
                  <c:v>0</c:v>
                </c:pt>
                <c:pt idx="6">
                  <c:v>1</c:v>
                </c:pt>
                <c:pt idx="7">
                  <c:v>1</c:v>
                </c:pt>
                <c:pt idx="8">
                  <c:v>13</c:v>
                </c:pt>
                <c:pt idx="9">
                  <c:v>2</c:v>
                </c:pt>
                <c:pt idx="10">
                  <c:v>2</c:v>
                </c:pt>
                <c:pt idx="11">
                  <c:v>2</c:v>
                </c:pt>
                <c:pt idx="12">
                  <c:v>5</c:v>
                </c:pt>
                <c:pt idx="13">
                  <c:v>1</c:v>
                </c:pt>
                <c:pt idx="14">
                  <c:v>1</c:v>
                </c:pt>
                <c:pt idx="15">
                  <c:v>0</c:v>
                </c:pt>
                <c:pt idx="16">
                  <c:v>0</c:v>
                </c:pt>
                <c:pt idx="17">
                  <c:v>1</c:v>
                </c:pt>
                <c:pt idx="18">
                  <c:v>26</c:v>
                </c:pt>
                <c:pt idx="19">
                  <c:v>1</c:v>
                </c:pt>
                <c:pt idx="20">
                  <c:v>4</c:v>
                </c:pt>
                <c:pt idx="21">
                  <c:v>1</c:v>
                </c:pt>
                <c:pt idx="22">
                  <c:v>1</c:v>
                </c:pt>
                <c:pt idx="23">
                  <c:v>1</c:v>
                </c:pt>
                <c:pt idx="24">
                  <c:v>22</c:v>
                </c:pt>
                <c:pt idx="25">
                  <c:v>55</c:v>
                </c:pt>
                <c:pt idx="26">
                  <c:v>5</c:v>
                </c:pt>
                <c:pt idx="27">
                  <c:v>6</c:v>
                </c:pt>
                <c:pt idx="28">
                  <c:v>13</c:v>
                </c:pt>
                <c:pt idx="29">
                  <c:v>3</c:v>
                </c:pt>
                <c:pt idx="30">
                  <c:v>8</c:v>
                </c:pt>
                <c:pt idx="31">
                  <c:v>1</c:v>
                </c:pt>
                <c:pt idx="32">
                  <c:v>1</c:v>
                </c:pt>
                <c:pt idx="33">
                  <c:v>16</c:v>
                </c:pt>
                <c:pt idx="34">
                  <c:v>1</c:v>
                </c:pt>
                <c:pt idx="35">
                  <c:v>2</c:v>
                </c:pt>
                <c:pt idx="36">
                  <c:v>2</c:v>
                </c:pt>
                <c:pt idx="37">
                  <c:v>1</c:v>
                </c:pt>
                <c:pt idx="38">
                  <c:v>3</c:v>
                </c:pt>
                <c:pt idx="39">
                  <c:v>1</c:v>
                </c:pt>
                <c:pt idx="40">
                  <c:v>2</c:v>
                </c:pt>
                <c:pt idx="41">
                  <c:v>3</c:v>
                </c:pt>
                <c:pt idx="42">
                  <c:v>0</c:v>
                </c:pt>
                <c:pt idx="43">
                  <c:v>1</c:v>
                </c:pt>
                <c:pt idx="44">
                  <c:v>1</c:v>
                </c:pt>
              </c:numCache>
            </c:numRef>
          </c:val>
          <c:extLst>
            <c:ext xmlns:c16="http://schemas.microsoft.com/office/drawing/2014/chart" uri="{C3380CC4-5D6E-409C-BE32-E72D297353CC}">
              <c16:uniqueId val="{00000001-9A60-6145-9F77-946ED19EF4E5}"/>
            </c:ext>
          </c:extLst>
        </c:ser>
        <c:dLbls>
          <c:showLegendKey val="0"/>
          <c:showVal val="0"/>
          <c:showCatName val="0"/>
          <c:showSerName val="0"/>
          <c:showPercent val="0"/>
          <c:showBubbleSize val="0"/>
        </c:dLbls>
        <c:gapWidth val="219"/>
        <c:overlap val="-27"/>
        <c:axId val="593450879"/>
        <c:axId val="592678047"/>
      </c:barChart>
      <c:lineChart>
        <c:grouping val="standard"/>
        <c:varyColors val="0"/>
        <c:ser>
          <c:idx val="2"/>
          <c:order val="2"/>
          <c:tx>
            <c:strRef>
              <c:f>Potencia!$E$2</c:f>
              <c:strCache>
                <c:ptCount val="1"/>
                <c:pt idx="0">
                  <c:v>Total</c:v>
                </c:pt>
              </c:strCache>
            </c:strRef>
          </c:tx>
          <c:spPr>
            <a:ln w="28575" cap="rnd">
              <a:solidFill>
                <a:schemeClr val="accent3"/>
              </a:solidFill>
              <a:round/>
            </a:ln>
            <a:effectLst/>
          </c:spPr>
          <c:marker>
            <c:symbol val="none"/>
          </c:marker>
          <c:cat>
            <c:numRef>
              <c:f>Potencia!$B$3:$B$47</c:f>
              <c:numCache>
                <c:formatCode>General</c:formatCode>
                <c:ptCount val="45"/>
                <c:pt idx="0">
                  <c:v>0.1</c:v>
                </c:pt>
                <c:pt idx="1">
                  <c:v>0.15</c:v>
                </c:pt>
                <c:pt idx="2">
                  <c:v>0.18</c:v>
                </c:pt>
                <c:pt idx="3">
                  <c:v>0.2</c:v>
                </c:pt>
                <c:pt idx="4">
                  <c:v>0.3</c:v>
                </c:pt>
                <c:pt idx="5">
                  <c:v>0.36</c:v>
                </c:pt>
                <c:pt idx="6">
                  <c:v>0.4</c:v>
                </c:pt>
                <c:pt idx="7">
                  <c:v>0.5</c:v>
                </c:pt>
                <c:pt idx="8">
                  <c:v>0.6</c:v>
                </c:pt>
                <c:pt idx="9">
                  <c:v>0.66</c:v>
                </c:pt>
                <c:pt idx="10">
                  <c:v>0.75</c:v>
                </c:pt>
                <c:pt idx="11">
                  <c:v>0.8</c:v>
                </c:pt>
                <c:pt idx="12">
                  <c:v>0.85</c:v>
                </c:pt>
                <c:pt idx="13">
                  <c:v>0.9</c:v>
                </c:pt>
                <c:pt idx="14">
                  <c:v>0.95</c:v>
                </c:pt>
                <c:pt idx="15">
                  <c:v>1</c:v>
                </c:pt>
                <c:pt idx="16">
                  <c:v>1.25</c:v>
                </c:pt>
                <c:pt idx="17">
                  <c:v>1.3</c:v>
                </c:pt>
                <c:pt idx="18">
                  <c:v>1.5</c:v>
                </c:pt>
                <c:pt idx="19">
                  <c:v>1.6</c:v>
                </c:pt>
                <c:pt idx="20">
                  <c:v>1.65</c:v>
                </c:pt>
                <c:pt idx="21">
                  <c:v>1.67</c:v>
                </c:pt>
                <c:pt idx="22">
                  <c:v>1.7</c:v>
                </c:pt>
                <c:pt idx="23">
                  <c:v>1.75</c:v>
                </c:pt>
                <c:pt idx="24">
                  <c:v>1.8</c:v>
                </c:pt>
                <c:pt idx="25">
                  <c:v>2</c:v>
                </c:pt>
                <c:pt idx="26">
                  <c:v>2.0499999999999998</c:v>
                </c:pt>
                <c:pt idx="27">
                  <c:v>2.1</c:v>
                </c:pt>
                <c:pt idx="28">
                  <c:v>2.2999999999999998</c:v>
                </c:pt>
                <c:pt idx="29">
                  <c:v>2.35</c:v>
                </c:pt>
                <c:pt idx="30">
                  <c:v>2.5</c:v>
                </c:pt>
                <c:pt idx="31">
                  <c:v>2.75</c:v>
                </c:pt>
                <c:pt idx="32">
                  <c:v>2.8</c:v>
                </c:pt>
                <c:pt idx="33">
                  <c:v>3</c:v>
                </c:pt>
                <c:pt idx="34">
                  <c:v>3.05</c:v>
                </c:pt>
                <c:pt idx="35">
                  <c:v>3.0750000000000002</c:v>
                </c:pt>
                <c:pt idx="36">
                  <c:v>3.2</c:v>
                </c:pt>
                <c:pt idx="37">
                  <c:v>3.3</c:v>
                </c:pt>
                <c:pt idx="38">
                  <c:v>3.45</c:v>
                </c:pt>
                <c:pt idx="39">
                  <c:v>3.4649999999999999</c:v>
                </c:pt>
                <c:pt idx="40">
                  <c:v>3.6</c:v>
                </c:pt>
                <c:pt idx="41">
                  <c:v>4</c:v>
                </c:pt>
                <c:pt idx="42">
                  <c:v>5</c:v>
                </c:pt>
                <c:pt idx="43">
                  <c:v>8</c:v>
                </c:pt>
                <c:pt idx="44">
                  <c:v>9.5</c:v>
                </c:pt>
              </c:numCache>
            </c:numRef>
          </c:cat>
          <c:val>
            <c:numRef>
              <c:f>Potencia!$E$3:$E$47</c:f>
              <c:numCache>
                <c:formatCode>General</c:formatCode>
                <c:ptCount val="45"/>
                <c:pt idx="0">
                  <c:v>1</c:v>
                </c:pt>
                <c:pt idx="1">
                  <c:v>1</c:v>
                </c:pt>
                <c:pt idx="2">
                  <c:v>0</c:v>
                </c:pt>
                <c:pt idx="3">
                  <c:v>1</c:v>
                </c:pt>
                <c:pt idx="4">
                  <c:v>1</c:v>
                </c:pt>
                <c:pt idx="5">
                  <c:v>1</c:v>
                </c:pt>
                <c:pt idx="6">
                  <c:v>1</c:v>
                </c:pt>
                <c:pt idx="7">
                  <c:v>5</c:v>
                </c:pt>
                <c:pt idx="8">
                  <c:v>19</c:v>
                </c:pt>
                <c:pt idx="9">
                  <c:v>6</c:v>
                </c:pt>
                <c:pt idx="10">
                  <c:v>5</c:v>
                </c:pt>
                <c:pt idx="11">
                  <c:v>3</c:v>
                </c:pt>
                <c:pt idx="12">
                  <c:v>8</c:v>
                </c:pt>
                <c:pt idx="13">
                  <c:v>4</c:v>
                </c:pt>
                <c:pt idx="14">
                  <c:v>1</c:v>
                </c:pt>
                <c:pt idx="15">
                  <c:v>3</c:v>
                </c:pt>
                <c:pt idx="16">
                  <c:v>1</c:v>
                </c:pt>
                <c:pt idx="17">
                  <c:v>2</c:v>
                </c:pt>
                <c:pt idx="18">
                  <c:v>39</c:v>
                </c:pt>
                <c:pt idx="19">
                  <c:v>1</c:v>
                </c:pt>
                <c:pt idx="20">
                  <c:v>7</c:v>
                </c:pt>
                <c:pt idx="21">
                  <c:v>1</c:v>
                </c:pt>
                <c:pt idx="22">
                  <c:v>1</c:v>
                </c:pt>
                <c:pt idx="23">
                  <c:v>5</c:v>
                </c:pt>
                <c:pt idx="24">
                  <c:v>25</c:v>
                </c:pt>
                <c:pt idx="25">
                  <c:v>73</c:v>
                </c:pt>
                <c:pt idx="26">
                  <c:v>5</c:v>
                </c:pt>
                <c:pt idx="27">
                  <c:v>10</c:v>
                </c:pt>
                <c:pt idx="28">
                  <c:v>29</c:v>
                </c:pt>
                <c:pt idx="29">
                  <c:v>3</c:v>
                </c:pt>
                <c:pt idx="30">
                  <c:v>13</c:v>
                </c:pt>
                <c:pt idx="31">
                  <c:v>1</c:v>
                </c:pt>
                <c:pt idx="32">
                  <c:v>1</c:v>
                </c:pt>
                <c:pt idx="33">
                  <c:v>20</c:v>
                </c:pt>
                <c:pt idx="34">
                  <c:v>1</c:v>
                </c:pt>
                <c:pt idx="35">
                  <c:v>2</c:v>
                </c:pt>
                <c:pt idx="36">
                  <c:v>2</c:v>
                </c:pt>
                <c:pt idx="37">
                  <c:v>1</c:v>
                </c:pt>
                <c:pt idx="38">
                  <c:v>4</c:v>
                </c:pt>
                <c:pt idx="39">
                  <c:v>1</c:v>
                </c:pt>
                <c:pt idx="40">
                  <c:v>2</c:v>
                </c:pt>
                <c:pt idx="41">
                  <c:v>3</c:v>
                </c:pt>
                <c:pt idx="42">
                  <c:v>0</c:v>
                </c:pt>
                <c:pt idx="43">
                  <c:v>2</c:v>
                </c:pt>
                <c:pt idx="44">
                  <c:v>1</c:v>
                </c:pt>
              </c:numCache>
            </c:numRef>
          </c:val>
          <c:smooth val="0"/>
          <c:extLst>
            <c:ext xmlns:c16="http://schemas.microsoft.com/office/drawing/2014/chart" uri="{C3380CC4-5D6E-409C-BE32-E72D297353CC}">
              <c16:uniqueId val="{00000002-9A60-6145-9F77-946ED19EF4E5}"/>
            </c:ext>
          </c:extLst>
        </c:ser>
        <c:dLbls>
          <c:showLegendKey val="0"/>
          <c:showVal val="0"/>
          <c:showCatName val="0"/>
          <c:showSerName val="0"/>
          <c:showPercent val="0"/>
          <c:showBubbleSize val="0"/>
        </c:dLbls>
        <c:marker val="1"/>
        <c:smooth val="0"/>
        <c:axId val="593450879"/>
        <c:axId val="592678047"/>
      </c:lineChart>
      <c:catAx>
        <c:axId val="593450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92678047"/>
        <c:crosses val="autoZero"/>
        <c:auto val="1"/>
        <c:lblAlgn val="ctr"/>
        <c:lblOffset val="100"/>
        <c:noMultiLvlLbl val="0"/>
      </c:catAx>
      <c:valAx>
        <c:axId val="592678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93450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BE03EC1D685488F91967551D0A7AB" ma:contentTypeVersion="14" ma:contentTypeDescription="Create a new document." ma:contentTypeScope="" ma:versionID="dc660021550a09a98b636deb1dc4038f">
  <xsd:schema xmlns:xsd="http://www.w3.org/2001/XMLSchema" xmlns:xs="http://www.w3.org/2001/XMLSchema" xmlns:p="http://schemas.microsoft.com/office/2006/metadata/properties" xmlns:ns2="39daa65c-2f3d-49aa-b56b-54e38190d05b" xmlns:ns3="b8b7c3b7-1d72-4660-bc60-0e64e987bd72" targetNamespace="http://schemas.microsoft.com/office/2006/metadata/properties" ma:root="true" ma:fieldsID="6cb521669a2e7a74fb3697f5e53458af" ns2:_="" ns3:_="">
    <xsd:import namespace="39daa65c-2f3d-49aa-b56b-54e38190d05b"/>
    <xsd:import namespace="b8b7c3b7-1d72-4660-bc60-0e64e987bd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a65c-2f3d-49aa-b56b-54e38190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d0d879-0eb6-4c63-9e9d-b5e624ae59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b7c3b7-1d72-4660-bc60-0e64e987bd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3404599-ef77-470d-9982-97f794c94fb7}" ma:internalName="TaxCatchAll" ma:showField="CatchAllData" ma:web="b8b7c3b7-1d72-4660-bc60-0e64e987b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8b7c3b7-1d72-4660-bc60-0e64e987bd72">
      <UserInfo>
        <DisplayName/>
        <AccountId xsi:nil="true"/>
        <AccountType/>
      </UserInfo>
    </SharedWithUsers>
    <lcf76f155ced4ddcb4097134ff3c332f xmlns="39daa65c-2f3d-49aa-b56b-54e38190d05b">
      <Terms xmlns="http://schemas.microsoft.com/office/infopath/2007/PartnerControls"/>
    </lcf76f155ced4ddcb4097134ff3c332f>
    <TaxCatchAll xmlns="b8b7c3b7-1d72-4660-bc60-0e64e987bd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75582-CD0C-418B-BC81-51A3C12FA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a65c-2f3d-49aa-b56b-54e38190d05b"/>
    <ds:schemaRef ds:uri="b8b7c3b7-1d72-4660-bc60-0e64e987b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5302E8CE-C913-42FE-8F60-3E0C4AFB42F2}">
  <ds:schemaRefs>
    <ds:schemaRef ds:uri="http://schemas.microsoft.com/office/2006/metadata/properties"/>
    <ds:schemaRef ds:uri="http://schemas.microsoft.com/office/infopath/2007/PartnerControls"/>
    <ds:schemaRef ds:uri="b8b7c3b7-1d72-4660-bc60-0e64e987bd72"/>
    <ds:schemaRef ds:uri="39daa65c-2f3d-49aa-b56b-54e38190d05b"/>
  </ds:schemaRefs>
</ds:datastoreItem>
</file>

<file path=customXml/itemProps4.xml><?xml version="1.0" encoding="utf-8"?>
<ds:datastoreItem xmlns:ds="http://schemas.openxmlformats.org/officeDocument/2006/customXml" ds:itemID="{6DB51A6D-A157-4FE6-AF2E-C6644CFD2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11356</Characters>
  <Application>Microsoft Office Word</Application>
  <DocSecurity>0</DocSecurity>
  <Lines>94</Lines>
  <Paragraphs>26</Paragraphs>
  <ScaleCrop>false</ScaleCrop>
  <Company>Dipartimento CMIC - Politecnico di Milano</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2015-05-12T18:31:00Z</cp:lastPrinted>
  <dcterms:created xsi:type="dcterms:W3CDTF">2025-01-23T09:14:00Z</dcterms:created>
  <dcterms:modified xsi:type="dcterms:W3CDTF">2025-01-23T09:14:00Z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diaServiceImageTags">
    <vt:lpwstr/>
  </property>
  <property fmtid="{D5CDD505-2E9C-101B-9397-08002B2CF9AE}" pid="5" name="ContentTypeId">
    <vt:lpwstr>0x010100BBFBE03EC1D685488F91967551D0A7AB</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604142b6e55d49e335e929bf66fd2c4cfd0acde8de267e3298ea7eaa0b87b81b</vt:lpwstr>
  </property>
</Properties>
</file>